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bookmarkStart w:id="0" w:name="_GoBack"/>
      <w:bookmarkEnd w:id="0"/>
      <w:r w:rsidRPr="00CE0EAD">
        <w:rPr>
          <w:rStyle w:val="BookTitle"/>
          <w:i w:val="0"/>
        </w:rPr>
        <w:t>3GPP TSG RAN WG1 Meeting #98</w:t>
      </w:r>
      <w:r w:rsidR="009F56C2">
        <w:rPr>
          <w:rStyle w:val="BookTitle"/>
          <w:i w:val="0"/>
        </w:rPr>
        <w:t>bis</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7628AF">
        <w:rPr>
          <w:rStyle w:val="BookTitle"/>
          <w:i w:val="0"/>
        </w:rPr>
        <w:tab/>
        <w:t xml:space="preserve">    </w:t>
      </w:r>
      <w:r w:rsidRPr="00CE0EAD">
        <w:rPr>
          <w:rStyle w:val="BookTitle"/>
          <w:i w:val="0"/>
        </w:rPr>
        <w:t>R1-19</w:t>
      </w:r>
      <w:r w:rsidR="007628AF">
        <w:rPr>
          <w:rStyle w:val="BookTitle"/>
          <w:i w:val="0"/>
        </w:rPr>
        <w:t>1110</w:t>
      </w:r>
      <w:r w:rsidR="004B5725">
        <w:rPr>
          <w:rStyle w:val="BookTitle"/>
          <w:i w:val="0"/>
        </w:rPr>
        <w:t>2</w:t>
      </w:r>
    </w:p>
    <w:p w:rsidR="00806EAC" w:rsidRPr="00CE0EAD" w:rsidRDefault="009F56C2" w:rsidP="00CD131B">
      <w:pPr>
        <w:pStyle w:val="Subtitle"/>
        <w:rPr>
          <w:rStyle w:val="BookTitle"/>
          <w:i w:val="0"/>
        </w:rPr>
      </w:pPr>
      <w:r>
        <w:rPr>
          <w:rStyle w:val="BookTitle"/>
          <w:i w:val="0"/>
        </w:rPr>
        <w:t>Chongqing</w:t>
      </w:r>
      <w:r w:rsidR="00806EAC" w:rsidRPr="00CE0EAD">
        <w:rPr>
          <w:rStyle w:val="BookTitle"/>
          <w:i w:val="0"/>
        </w:rPr>
        <w:t>, C</w:t>
      </w:r>
      <w:r>
        <w:rPr>
          <w:rStyle w:val="BookTitle"/>
          <w:i w:val="0"/>
        </w:rPr>
        <w:t>hina</w:t>
      </w:r>
      <w:r w:rsidR="00806EAC" w:rsidRPr="00CE0EAD">
        <w:rPr>
          <w:rStyle w:val="BookTitle"/>
          <w:i w:val="0"/>
        </w:rPr>
        <w:t xml:space="preserve">, </w:t>
      </w:r>
      <w:r w:rsidR="00AE7BAA">
        <w:rPr>
          <w:rStyle w:val="BookTitle"/>
          <w:i w:val="0"/>
        </w:rPr>
        <w:t>14</w:t>
      </w:r>
      <w:r w:rsidR="00CD131B" w:rsidRPr="00CE0EAD">
        <w:rPr>
          <w:rStyle w:val="BookTitle"/>
          <w:i w:val="0"/>
          <w:vertAlign w:val="superscript"/>
        </w:rPr>
        <w:t>th</w:t>
      </w:r>
      <w:r w:rsidR="00CD131B" w:rsidRPr="00CE0EAD">
        <w:rPr>
          <w:rStyle w:val="BookTitle"/>
          <w:i w:val="0"/>
        </w:rPr>
        <w:t xml:space="preserve"> </w:t>
      </w:r>
      <w:r>
        <w:rPr>
          <w:rStyle w:val="BookTitle"/>
          <w:i w:val="0"/>
        </w:rPr>
        <w:t>October</w:t>
      </w:r>
      <w:r w:rsidR="00806EAC" w:rsidRPr="00CE0EAD">
        <w:rPr>
          <w:rStyle w:val="BookTitle"/>
          <w:i w:val="0"/>
        </w:rPr>
        <w:t xml:space="preserve">– </w:t>
      </w:r>
      <w:r w:rsidR="00AE7BAA">
        <w:rPr>
          <w:rStyle w:val="BookTitle"/>
          <w:i w:val="0"/>
        </w:rPr>
        <w:t>2</w:t>
      </w:r>
      <w:r w:rsidR="00806EAC" w:rsidRPr="00CE0EAD">
        <w:rPr>
          <w:rStyle w:val="BookTitle"/>
          <w:i w:val="0"/>
        </w:rPr>
        <w:t>0</w:t>
      </w:r>
      <w:r w:rsidR="00CD131B" w:rsidRPr="00CE0EAD">
        <w:rPr>
          <w:rStyle w:val="BookTitle"/>
          <w:i w:val="0"/>
          <w:vertAlign w:val="superscript"/>
        </w:rPr>
        <w:t>th</w:t>
      </w:r>
      <w:r w:rsidR="00CD131B" w:rsidRPr="00CE0EAD">
        <w:rPr>
          <w:rStyle w:val="BookTitle"/>
          <w:i w:val="0"/>
        </w:rPr>
        <w:t xml:space="preserve"> </w:t>
      </w:r>
      <w:r>
        <w:rPr>
          <w:rStyle w:val="BookTitle"/>
          <w:i w:val="0"/>
        </w:rPr>
        <w:t>October</w:t>
      </w:r>
      <w:r w:rsidR="00806EAC" w:rsidRPr="00CE0EAD">
        <w:rPr>
          <w:rStyle w:val="BookTitle"/>
          <w:i w:val="0"/>
        </w:rPr>
        <w:t xml:space="preserve">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2F456C">
        <w:rPr>
          <w:rStyle w:val="SubtitleChar"/>
        </w:rPr>
        <w:t>2</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2F456C" w:rsidRPr="002F456C">
        <w:rPr>
          <w:rStyle w:val="SubtitleChar"/>
        </w:rPr>
        <w:t>Further topics on IAB resource management</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5E03C6" w:rsidRDefault="005E03C6" w:rsidP="005C3A3C">
      <w:r>
        <w:t>This contribution provides considerations and recommendations for the main remaining open issues for IAB resource management. Specifically, this contribution addresses the following topics:</w:t>
      </w:r>
    </w:p>
    <w:p w:rsidR="00832C04" w:rsidRDefault="00DA6F21" w:rsidP="005E03C6">
      <w:pPr>
        <w:pStyle w:val="ListParagraph"/>
        <w:numPr>
          <w:ilvl w:val="0"/>
          <w:numId w:val="5"/>
        </w:numPr>
      </w:pPr>
      <w:r w:rsidRPr="00DA6F21">
        <w:t>Per child-IAB link DU configuration of Not Available resources</w:t>
      </w:r>
    </w:p>
    <w:p w:rsidR="00114445" w:rsidRDefault="00114445" w:rsidP="005E03C6">
      <w:pPr>
        <w:pStyle w:val="ListParagraph"/>
        <w:numPr>
          <w:ilvl w:val="0"/>
          <w:numId w:val="5"/>
        </w:numPr>
      </w:pPr>
      <w:r>
        <w:t>Further considerations on the h</w:t>
      </w:r>
      <w:r w:rsidRPr="00114445">
        <w:t>andling of resource overlap at MT-to-DU and DU-to-MT transitions</w:t>
      </w:r>
    </w:p>
    <w:p w:rsidR="00832C04" w:rsidRDefault="00832C04" w:rsidP="005E03C6">
      <w:pPr>
        <w:pStyle w:val="ListParagraph"/>
        <w:numPr>
          <w:ilvl w:val="0"/>
          <w:numId w:val="5"/>
        </w:numPr>
      </w:pPr>
      <w:r>
        <w:t xml:space="preserve">Explicit </w:t>
      </w:r>
      <w:r w:rsidR="0090068A">
        <w:t>indication of resource availability</w:t>
      </w:r>
    </w:p>
    <w:p w:rsidR="002C59CE" w:rsidRPr="008C5A4C" w:rsidRDefault="00832C04" w:rsidP="002C59CE">
      <w:pPr>
        <w:pStyle w:val="ListParagraph"/>
        <w:numPr>
          <w:ilvl w:val="0"/>
          <w:numId w:val="5"/>
        </w:numPr>
      </w:pPr>
      <w:r>
        <w:t>Granularity of Hard/Soft/Not Available DU resource configuration</w:t>
      </w:r>
      <w:r w:rsidR="006565BC">
        <w:t xml:space="preserve"> </w:t>
      </w:r>
    </w:p>
    <w:p w:rsidR="00DA6F21" w:rsidRDefault="00DA6F21" w:rsidP="00DA6F21">
      <w:pPr>
        <w:pStyle w:val="Heading3"/>
      </w:pPr>
      <w:r>
        <w:t>Per child-IAB link DU configuration of Not Available resources</w:t>
      </w:r>
    </w:p>
    <w:p w:rsidR="00DA6F21" w:rsidRDefault="00DA6F21" w:rsidP="00DA6F21">
      <w:r>
        <w:t>There are possible scenarios in which it is desirable to have the ability to restrict the resources available to a DU in a given link to a child node. This is necessary to handle situations in which more information is needed beyond what the DU could infer from the knowledge of the DU configuration of its children nodes. Specifically, there are at least two scenarios:</w:t>
      </w:r>
    </w:p>
    <w:p w:rsidR="00DA6F21" w:rsidRDefault="00DA6F21" w:rsidP="00DA6F21">
      <w:pPr>
        <w:pStyle w:val="ListParagraph"/>
        <w:numPr>
          <w:ilvl w:val="0"/>
          <w:numId w:val="13"/>
        </w:numPr>
      </w:pPr>
      <w:r>
        <w:t xml:space="preserve">Interference due to neighboring nodes with different parents (illustrated in </w:t>
      </w:r>
      <w:r>
        <w:fldChar w:fldCharType="begin"/>
      </w:r>
      <w:r>
        <w:instrText xml:space="preserve"> REF _Ref16881540 \h </w:instrText>
      </w:r>
      <w:r>
        <w:fldChar w:fldCharType="separate"/>
      </w:r>
      <w:r w:rsidR="0014203B">
        <w:t xml:space="preserve">Figure </w:t>
      </w:r>
      <w:r w:rsidR="0014203B">
        <w:rPr>
          <w:noProof/>
        </w:rPr>
        <w:t>1</w:t>
      </w:r>
      <w:r>
        <w:fldChar w:fldCharType="end"/>
      </w:r>
      <w:r>
        <w:t>)</w:t>
      </w:r>
    </w:p>
    <w:p w:rsidR="00DA6F21" w:rsidRDefault="00DA6F21" w:rsidP="00DA6F21">
      <w:pPr>
        <w:pStyle w:val="ListParagraph"/>
        <w:numPr>
          <w:ilvl w:val="0"/>
          <w:numId w:val="13"/>
        </w:numPr>
      </w:pPr>
      <w:r>
        <w:t xml:space="preserve">Co-channel multi-parent (illustrated in </w:t>
      </w:r>
      <w:r>
        <w:fldChar w:fldCharType="begin"/>
      </w:r>
      <w:r>
        <w:instrText xml:space="preserve"> REF _Ref16881556 \h </w:instrText>
      </w:r>
      <w:r>
        <w:fldChar w:fldCharType="separate"/>
      </w:r>
      <w:r w:rsidR="0014203B">
        <w:t xml:space="preserve">Figure </w:t>
      </w:r>
      <w:r w:rsidR="0014203B">
        <w:rPr>
          <w:noProof/>
        </w:rPr>
        <w:t>2</w:t>
      </w:r>
      <w:r>
        <w:fldChar w:fldCharType="end"/>
      </w:r>
      <w:r>
        <w:t>)</w:t>
      </w:r>
    </w:p>
    <w:p w:rsidR="00DA6F21" w:rsidRDefault="00DA6F21" w:rsidP="00DA6F21"/>
    <w:p w:rsidR="00DA6F21" w:rsidRDefault="00DA6F21" w:rsidP="00DA6F21">
      <w:pPr>
        <w:jc w:val="center"/>
      </w:pPr>
      <w:r>
        <w:rPr>
          <w:noProof/>
        </w:rPr>
        <w:drawing>
          <wp:inline distT="0" distB="0" distL="0" distR="0" wp14:anchorId="23C17B23" wp14:editId="509DA696">
            <wp:extent cx="4785995" cy="22923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2292350"/>
                    </a:xfrm>
                    <a:prstGeom prst="rect">
                      <a:avLst/>
                    </a:prstGeom>
                    <a:noFill/>
                  </pic:spPr>
                </pic:pic>
              </a:graphicData>
            </a:graphic>
          </wp:inline>
        </w:drawing>
      </w:r>
    </w:p>
    <w:p w:rsidR="00DA6F21" w:rsidRDefault="00DA6F21" w:rsidP="00DA6F21">
      <w:pPr>
        <w:pStyle w:val="Caption"/>
        <w:jc w:val="center"/>
      </w:pPr>
      <w:bookmarkStart w:id="1" w:name="_Ref16881540"/>
      <w:r>
        <w:t xml:space="preserve">Figure </w:t>
      </w:r>
      <w:r>
        <w:fldChar w:fldCharType="begin"/>
      </w:r>
      <w:r>
        <w:instrText xml:space="preserve"> SEQ Figure \* ARABIC </w:instrText>
      </w:r>
      <w:r>
        <w:fldChar w:fldCharType="separate"/>
      </w:r>
      <w:r w:rsidR="0014203B">
        <w:rPr>
          <w:noProof/>
        </w:rPr>
        <w:t>1</w:t>
      </w:r>
      <w:r>
        <w:fldChar w:fldCharType="end"/>
      </w:r>
      <w:bookmarkEnd w:id="1"/>
      <w:r>
        <w:t xml:space="preserve"> – Interference scenario</w:t>
      </w:r>
    </w:p>
    <w:p w:rsidR="00DA6F21" w:rsidRDefault="00DA6F21" w:rsidP="00DA6F21"/>
    <w:p w:rsidR="00DA6F21" w:rsidRDefault="00DA6F21" w:rsidP="00DA6F21">
      <w:pPr>
        <w:jc w:val="center"/>
      </w:pPr>
      <w:r>
        <w:rPr>
          <w:noProof/>
        </w:rPr>
        <w:lastRenderedPageBreak/>
        <w:drawing>
          <wp:inline distT="0" distB="0" distL="0" distR="0" wp14:anchorId="4B0C9D29" wp14:editId="3DF6117A">
            <wp:extent cx="4785995" cy="23044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5995" cy="2304415"/>
                    </a:xfrm>
                    <a:prstGeom prst="rect">
                      <a:avLst/>
                    </a:prstGeom>
                    <a:noFill/>
                  </pic:spPr>
                </pic:pic>
              </a:graphicData>
            </a:graphic>
          </wp:inline>
        </w:drawing>
      </w:r>
    </w:p>
    <w:p w:rsidR="00DA6F21" w:rsidRDefault="00DA6F21" w:rsidP="00DA6F21">
      <w:pPr>
        <w:pStyle w:val="Caption"/>
        <w:jc w:val="center"/>
      </w:pPr>
      <w:bookmarkStart w:id="2" w:name="_Ref16881556"/>
      <w:r>
        <w:t xml:space="preserve">Figure </w:t>
      </w:r>
      <w:r>
        <w:fldChar w:fldCharType="begin"/>
      </w:r>
      <w:r>
        <w:instrText xml:space="preserve"> SEQ Figure \* ARABIC </w:instrText>
      </w:r>
      <w:r>
        <w:fldChar w:fldCharType="separate"/>
      </w:r>
      <w:r w:rsidR="0014203B">
        <w:rPr>
          <w:noProof/>
        </w:rPr>
        <w:t>2</w:t>
      </w:r>
      <w:r>
        <w:fldChar w:fldCharType="end"/>
      </w:r>
      <w:bookmarkEnd w:id="2"/>
      <w:r>
        <w:t xml:space="preserve"> – Co-channel multi-parent scenario</w:t>
      </w:r>
    </w:p>
    <w:p w:rsidR="00DA6F21" w:rsidRDefault="00DA6F21" w:rsidP="00DA6F21">
      <w:r>
        <w:t xml:space="preserve">Handling of these scenarios can be achieved by simply extending the NA attribute to be per-child IAB node specific. </w:t>
      </w:r>
    </w:p>
    <w:p w:rsidR="00DA6F21" w:rsidRPr="004F4239" w:rsidRDefault="00DA6F21" w:rsidP="00DA6F21">
      <w:pPr>
        <w:rPr>
          <w:rStyle w:val="Strong"/>
          <w:u w:val="single"/>
        </w:rPr>
      </w:pPr>
      <w:r>
        <w:rPr>
          <w:rStyle w:val="Strong"/>
          <w:u w:val="single"/>
        </w:rPr>
        <w:t xml:space="preserve">Observation </w:t>
      </w:r>
      <w:r w:rsidR="005C3A3C">
        <w:rPr>
          <w:rStyle w:val="Strong"/>
          <w:u w:val="single"/>
        </w:rPr>
        <w:t>1</w:t>
      </w:r>
      <w:r w:rsidRPr="004F4239">
        <w:rPr>
          <w:rStyle w:val="Strong"/>
          <w:u w:val="single"/>
        </w:rPr>
        <w:t>:</w:t>
      </w:r>
    </w:p>
    <w:p w:rsidR="00DA6F21" w:rsidRPr="003F2BAD" w:rsidRDefault="00DA6F21" w:rsidP="00DA6F21">
      <w:pPr>
        <w:rPr>
          <w:b/>
        </w:rPr>
      </w:pPr>
      <w:r w:rsidRPr="003F2BAD">
        <w:rPr>
          <w:b/>
        </w:rPr>
        <w:t xml:space="preserve">There are possible scenarios in which it is desirable to have the ability to restrict the resources available to a DU in a given link to a child node beyond what the DU could infer from the knowledge of the child node DU configuration. </w:t>
      </w:r>
      <w:r w:rsidR="00F929D4">
        <w:rPr>
          <w:b/>
        </w:rPr>
        <w:t>S</w:t>
      </w:r>
      <w:r w:rsidRPr="003F2BAD">
        <w:rPr>
          <w:b/>
        </w:rPr>
        <w:t xml:space="preserve">uch scenarios can be handled by </w:t>
      </w:r>
      <w:r w:rsidR="00F929D4">
        <w:rPr>
          <w:b/>
        </w:rPr>
        <w:t>making</w:t>
      </w:r>
      <w:r w:rsidRPr="003F2BAD">
        <w:rPr>
          <w:b/>
        </w:rPr>
        <w:t xml:space="preserve"> the NA attribute </w:t>
      </w:r>
      <w:r w:rsidR="00B45B0E">
        <w:rPr>
          <w:b/>
        </w:rPr>
        <w:t xml:space="preserve">specific to the link to a </w:t>
      </w:r>
      <w:r w:rsidRPr="003F2BAD">
        <w:rPr>
          <w:b/>
        </w:rPr>
        <w:t>child IAB node.</w:t>
      </w:r>
    </w:p>
    <w:p w:rsidR="00DA6F21" w:rsidRPr="004F4239" w:rsidRDefault="00DA6F21" w:rsidP="00DA6F21">
      <w:pPr>
        <w:rPr>
          <w:rStyle w:val="Strong"/>
          <w:u w:val="single"/>
        </w:rPr>
      </w:pPr>
      <w:r w:rsidRPr="004F4239">
        <w:rPr>
          <w:rStyle w:val="Strong"/>
          <w:u w:val="single"/>
        </w:rPr>
        <w:t>Proposal</w:t>
      </w:r>
      <w:r>
        <w:rPr>
          <w:rStyle w:val="Strong"/>
          <w:u w:val="single"/>
        </w:rPr>
        <w:t xml:space="preserve"> </w:t>
      </w:r>
      <w:r w:rsidR="005C3A3C">
        <w:rPr>
          <w:rStyle w:val="Strong"/>
          <w:u w:val="single"/>
        </w:rPr>
        <w:t>1</w:t>
      </w:r>
      <w:r w:rsidRPr="004F4239">
        <w:rPr>
          <w:rStyle w:val="Strong"/>
          <w:u w:val="single"/>
        </w:rPr>
        <w:t>:</w:t>
      </w:r>
    </w:p>
    <w:p w:rsidR="00DA6F21" w:rsidRDefault="00DA6F21" w:rsidP="00DA6F21">
      <w:pPr>
        <w:rPr>
          <w:rStyle w:val="Strong"/>
        </w:rPr>
      </w:pPr>
      <w:r>
        <w:rPr>
          <w:rStyle w:val="Strong"/>
        </w:rPr>
        <w:t>The NA attribute</w:t>
      </w:r>
      <w:r w:rsidR="00F929D4">
        <w:rPr>
          <w:rStyle w:val="Strong"/>
        </w:rPr>
        <w:t xml:space="preserve"> of a DU resource</w:t>
      </w:r>
      <w:r>
        <w:rPr>
          <w:rStyle w:val="Strong"/>
        </w:rPr>
        <w:t xml:space="preserve"> is optionally provided for each link to a child IAB node.</w:t>
      </w:r>
    </w:p>
    <w:p w:rsidR="00DA6F21" w:rsidRDefault="00DA6F21" w:rsidP="00DA6F21"/>
    <w:p w:rsidR="006265D9" w:rsidRDefault="006265D9" w:rsidP="006265D9">
      <w:pPr>
        <w:pStyle w:val="Heading3"/>
      </w:pPr>
      <w:bookmarkStart w:id="3" w:name="_Ref16876995"/>
      <w:r>
        <w:t>Handling of resource overlap at MT-to-DU and DU-to-MT transitions</w:t>
      </w:r>
      <w:bookmarkEnd w:id="3"/>
    </w:p>
    <w:p w:rsidR="006265D9" w:rsidRDefault="006265D9" w:rsidP="006265D9">
      <w:r>
        <w:t xml:space="preserve">Given the timing scheme agreed for IAB (i.e., Case 1 timing), the slot boundaries are not perfectly aligned between the upstream link (link to the parent node) and the downstream link (link to the children nodes). For the TDD case the timing relationship is illustrated in more detail in </w:t>
      </w:r>
      <w:r>
        <w:fldChar w:fldCharType="begin"/>
      </w:r>
      <w:r>
        <w:instrText xml:space="preserve"> REF _Ref16758207 \h </w:instrText>
      </w:r>
      <w:r>
        <w:fldChar w:fldCharType="separate"/>
      </w:r>
      <w:r w:rsidR="0014203B">
        <w:t xml:space="preserve">Figure </w:t>
      </w:r>
      <w:r w:rsidR="0014203B">
        <w:rPr>
          <w:noProof/>
        </w:rPr>
        <w:t>3</w:t>
      </w:r>
      <w:r>
        <w:fldChar w:fldCharType="end"/>
      </w:r>
      <w:r>
        <w:t>. It can be observed that depending on the type of transition between MT (DU) operation to DU (MT) operation there is in general a resource overlap of at least a fraction of a symbol or a gap. As an example, a transition between DL Rx at the MT to UL Rx at the DU has one of the largest overlaps. Conversely, the reverse transition between UL Rx at the DU to DL Rx at the MT has one of the largest gaps.</w:t>
      </w:r>
    </w:p>
    <w:p w:rsidR="006265D9" w:rsidRDefault="006265D9" w:rsidP="006265D9">
      <w:pPr>
        <w:pStyle w:val="Heading3"/>
      </w:pPr>
    </w:p>
    <w:p w:rsidR="006265D9" w:rsidRDefault="006265D9" w:rsidP="006265D9">
      <w:r>
        <w:object w:dxaOrig="14611" w:dyaOrig="6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7.55pt" o:ole="">
            <v:imagedata r:id="rId10" o:title=""/>
          </v:shape>
          <o:OLEObject Type="Embed" ProgID="Visio.Drawing.15" ShapeID="_x0000_i1025" DrawAspect="Content" ObjectID="_1631710792" r:id="rId11"/>
        </w:object>
      </w:r>
    </w:p>
    <w:p w:rsidR="006265D9" w:rsidRDefault="006265D9" w:rsidP="006265D9">
      <w:pPr>
        <w:pStyle w:val="Caption"/>
        <w:jc w:val="center"/>
      </w:pPr>
      <w:bookmarkStart w:id="4" w:name="_Ref16758207"/>
      <w:r>
        <w:t xml:space="preserve">Figure </w:t>
      </w:r>
      <w:r>
        <w:fldChar w:fldCharType="begin"/>
      </w:r>
      <w:r>
        <w:instrText xml:space="preserve"> SEQ Figure \* ARABIC </w:instrText>
      </w:r>
      <w:r>
        <w:fldChar w:fldCharType="separate"/>
      </w:r>
      <w:r w:rsidR="0014203B">
        <w:rPr>
          <w:noProof/>
        </w:rPr>
        <w:t>3</w:t>
      </w:r>
      <w:r>
        <w:fldChar w:fldCharType="end"/>
      </w:r>
      <w:bookmarkEnd w:id="4"/>
      <w:r>
        <w:t xml:space="preserve"> – Detailed timing view for MT and DU at a given IAB node</w:t>
      </w:r>
    </w:p>
    <w:p w:rsidR="006265D9" w:rsidRDefault="006265D9" w:rsidP="006265D9">
      <w:r>
        <w:t xml:space="preserve">As it can be seen in </w:t>
      </w:r>
      <w:r>
        <w:fldChar w:fldCharType="begin"/>
      </w:r>
      <w:r>
        <w:instrText xml:space="preserve"> REF _Ref16758207 \h </w:instrText>
      </w:r>
      <w:r>
        <w:fldChar w:fldCharType="separate"/>
      </w:r>
      <w:r w:rsidR="0014203B">
        <w:t xml:space="preserve">Figure </w:t>
      </w:r>
      <w:r w:rsidR="0014203B">
        <w:rPr>
          <w:noProof/>
        </w:rPr>
        <w:t>3</w:t>
      </w:r>
      <w:r>
        <w:fldChar w:fldCharType="end"/>
      </w:r>
      <w:r>
        <w:t>, the length of the overlap and gap regions at an IAB node depends on:</w:t>
      </w:r>
    </w:p>
    <w:p w:rsidR="006265D9" w:rsidRDefault="006265D9" w:rsidP="006265D9">
      <w:pPr>
        <w:pStyle w:val="ListParagraph"/>
        <w:numPr>
          <w:ilvl w:val="0"/>
          <w:numId w:val="9"/>
        </w:numPr>
      </w:pPr>
      <w:r>
        <w:t>The propagation delay from the parent node, Tp.</w:t>
      </w:r>
    </w:p>
    <w:p w:rsidR="006265D9" w:rsidRDefault="006265D9" w:rsidP="006265D9">
      <w:pPr>
        <w:pStyle w:val="ListParagraph"/>
        <w:numPr>
          <w:ilvl w:val="0"/>
          <w:numId w:val="9"/>
        </w:numPr>
      </w:pPr>
      <w:r>
        <w:t>The timing skew between the DL slot boundaries and the UL slot boundaries</w:t>
      </w:r>
      <w:r w:rsidR="00AD379B">
        <w:t xml:space="preserve"> G</w:t>
      </w:r>
      <w:r w:rsidR="00AD379B" w:rsidRPr="008D1000">
        <w:rPr>
          <w:vertAlign w:val="subscript"/>
        </w:rPr>
        <w:t>Rx2Tx</w:t>
      </w:r>
      <w:r>
        <w:t xml:space="preserve"> at the node</w:t>
      </w:r>
      <w:r w:rsidR="00AD379B">
        <w:t xml:space="preserve"> and at its parent node</w:t>
      </w:r>
      <w:r w:rsidRPr="008D1000">
        <w:t>.</w:t>
      </w:r>
    </w:p>
    <w:p w:rsidR="00421A10" w:rsidRDefault="00421A10" w:rsidP="00421A10"/>
    <w:p w:rsidR="00421A10" w:rsidRDefault="00421A10" w:rsidP="00421A10">
      <w:r>
        <w:t xml:space="preserve">In RAN1 #98 </w:t>
      </w:r>
      <w:r w:rsidR="009428AF">
        <w:t xml:space="preserve">[1] </w:t>
      </w:r>
      <w:r>
        <w:t>it was agreed that:</w:t>
      </w:r>
    </w:p>
    <w:tbl>
      <w:tblPr>
        <w:tblStyle w:val="TableGrid"/>
        <w:tblW w:w="0" w:type="auto"/>
        <w:tblLook w:val="04A0" w:firstRow="1" w:lastRow="0" w:firstColumn="1" w:lastColumn="0" w:noHBand="0" w:noVBand="1"/>
      </w:tblPr>
      <w:tblGrid>
        <w:gridCol w:w="9629"/>
      </w:tblGrid>
      <w:tr w:rsidR="00421A10" w:rsidTr="00421A10">
        <w:tc>
          <w:tcPr>
            <w:tcW w:w="9629" w:type="dxa"/>
          </w:tcPr>
          <w:p w:rsidR="00421A10" w:rsidRPr="008A6A9C" w:rsidRDefault="00421A10" w:rsidP="00421A10">
            <w:pPr>
              <w:ind w:left="1440" w:hanging="1440"/>
              <w:rPr>
                <w:lang w:val="en-US" w:eastAsia="x-none"/>
              </w:rPr>
            </w:pPr>
            <w:r w:rsidRPr="008A6A9C">
              <w:rPr>
                <w:highlight w:val="green"/>
                <w:lang w:val="en-US" w:eastAsia="x-none"/>
              </w:rPr>
              <w:t>Agreements</w:t>
            </w:r>
            <w:r w:rsidRPr="008A6A9C">
              <w:rPr>
                <w:lang w:val="en-US" w:eastAsia="x-none"/>
              </w:rPr>
              <w:t>:</w:t>
            </w:r>
          </w:p>
          <w:p w:rsidR="00421A10" w:rsidRPr="008A6A9C" w:rsidRDefault="00421A10" w:rsidP="00421A10">
            <w:r w:rsidRPr="008A6A9C">
              <w:t>To handle potential misalignment in time of the configured DU and MT resources when determining the validity of H/S/NA at the DU, the following is supported:</w:t>
            </w:r>
          </w:p>
          <w:p w:rsidR="00421A10" w:rsidRPr="008A6A9C" w:rsidRDefault="00421A10" w:rsidP="00421A10">
            <w:pPr>
              <w:pStyle w:val="ListParagraph"/>
              <w:numPr>
                <w:ilvl w:val="0"/>
                <w:numId w:val="14"/>
              </w:numPr>
              <w:overflowPunct/>
              <w:autoSpaceDE/>
              <w:autoSpaceDN/>
              <w:adjustRightInd/>
              <w:spacing w:before="60" w:after="120"/>
              <w:jc w:val="both"/>
              <w:textAlignment w:val="auto"/>
            </w:pPr>
            <w:r w:rsidRPr="008A6A9C">
              <w:t xml:space="preserve">H/S/NA is applied/determined relative to the DU resource configuration (D/U/F) slot timing without considering the MT resource configuration or timing </w:t>
            </w:r>
          </w:p>
          <w:p w:rsidR="00421A10" w:rsidRPr="008A6A9C" w:rsidRDefault="00421A10" w:rsidP="00421A10">
            <w:pPr>
              <w:pStyle w:val="ListParagraph"/>
              <w:numPr>
                <w:ilvl w:val="0"/>
                <w:numId w:val="15"/>
              </w:numPr>
              <w:overflowPunct/>
              <w:autoSpaceDE/>
              <w:autoSpaceDN/>
              <w:adjustRightInd/>
              <w:spacing w:before="60" w:after="120"/>
              <w:jc w:val="both"/>
              <w:textAlignment w:val="auto"/>
            </w:pPr>
            <w:r w:rsidRPr="008A6A9C">
              <w:t>The parent DU should know the information about the misalignment between the MT and DU DL Tx/Rx / UL Tx/Rx timing(s) in order to avoid resource type conflicts</w:t>
            </w:r>
          </w:p>
          <w:p w:rsidR="00421A10" w:rsidRPr="008A6A9C" w:rsidRDefault="00421A10" w:rsidP="00421A10">
            <w:pPr>
              <w:pStyle w:val="ListParagraph"/>
              <w:numPr>
                <w:ilvl w:val="1"/>
                <w:numId w:val="15"/>
              </w:numPr>
              <w:overflowPunct/>
              <w:autoSpaceDE/>
              <w:autoSpaceDN/>
              <w:adjustRightInd/>
              <w:spacing w:before="60" w:after="120"/>
              <w:jc w:val="both"/>
              <w:textAlignment w:val="auto"/>
            </w:pPr>
            <w:r w:rsidRPr="008A6A9C">
              <w:t>FFS whether any explicit signalling is necessary or not</w:t>
            </w:r>
          </w:p>
          <w:p w:rsidR="00421A10" w:rsidRDefault="00421A10" w:rsidP="00421A10">
            <w:pPr>
              <w:pStyle w:val="ListParagraph"/>
              <w:numPr>
                <w:ilvl w:val="0"/>
                <w:numId w:val="15"/>
              </w:numPr>
              <w:overflowPunct/>
              <w:autoSpaceDE/>
              <w:autoSpaceDN/>
              <w:adjustRightInd/>
              <w:spacing w:before="60" w:after="120"/>
              <w:jc w:val="both"/>
              <w:textAlignment w:val="auto"/>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tc>
      </w:tr>
    </w:tbl>
    <w:p w:rsidR="00421A10" w:rsidRDefault="00421A10" w:rsidP="00421A10"/>
    <w:p w:rsidR="00421A10" w:rsidRDefault="00421A10" w:rsidP="00421A10">
      <w:r>
        <w:t>A FFS point is to determine whether additional information needs to be provided to the parent node to proactively handle the potential conflicts.</w:t>
      </w:r>
    </w:p>
    <w:p w:rsidR="006265D9" w:rsidRPr="004F4239" w:rsidRDefault="006265D9" w:rsidP="006265D9">
      <w:pPr>
        <w:rPr>
          <w:rStyle w:val="Strong"/>
          <w:u w:val="single"/>
        </w:rPr>
      </w:pPr>
      <w:r>
        <w:rPr>
          <w:rStyle w:val="Strong"/>
          <w:u w:val="single"/>
        </w:rPr>
        <w:t xml:space="preserve">Observation </w:t>
      </w:r>
      <w:r w:rsidR="00421A10">
        <w:rPr>
          <w:rStyle w:val="Strong"/>
          <w:u w:val="single"/>
        </w:rPr>
        <w:t>2</w:t>
      </w:r>
      <w:r w:rsidRPr="004F4239">
        <w:rPr>
          <w:rStyle w:val="Strong"/>
          <w:u w:val="single"/>
        </w:rPr>
        <w:t>:</w:t>
      </w:r>
    </w:p>
    <w:p w:rsidR="006265D9" w:rsidRPr="00564685" w:rsidRDefault="006265D9" w:rsidP="006265D9">
      <w:pPr>
        <w:rPr>
          <w:b/>
        </w:rPr>
      </w:pPr>
      <w:r w:rsidRPr="00564685">
        <w:rPr>
          <w:b/>
        </w:rPr>
        <w:t>The length of the overlap and gap regions at the MT to DU and DU to MT resource transition boundaries at an IAB node depends on:</w:t>
      </w:r>
    </w:p>
    <w:p w:rsidR="006265D9" w:rsidRPr="00564685" w:rsidRDefault="006265D9" w:rsidP="006265D9">
      <w:pPr>
        <w:pStyle w:val="ListParagraph"/>
        <w:numPr>
          <w:ilvl w:val="0"/>
          <w:numId w:val="11"/>
        </w:numPr>
        <w:rPr>
          <w:b/>
        </w:rPr>
      </w:pPr>
      <w:r w:rsidRPr="00564685">
        <w:rPr>
          <w:b/>
        </w:rPr>
        <w:t>The propagation delay from the parent node, Tp.</w:t>
      </w:r>
    </w:p>
    <w:p w:rsidR="006265D9" w:rsidRPr="001C43F8" w:rsidRDefault="006265D9" w:rsidP="006265D9">
      <w:pPr>
        <w:pStyle w:val="ListParagraph"/>
        <w:numPr>
          <w:ilvl w:val="0"/>
          <w:numId w:val="11"/>
        </w:numPr>
        <w:rPr>
          <w:b/>
        </w:rPr>
      </w:pPr>
      <w:r w:rsidRPr="00564685">
        <w:rPr>
          <w:b/>
        </w:rPr>
        <w:t xml:space="preserve">The timing skew between the DL slot boundaries and the UL slot boundaries </w:t>
      </w:r>
      <w:r w:rsidR="00AD379B" w:rsidRPr="00564685">
        <w:rPr>
          <w:b/>
        </w:rPr>
        <w:t>G</w:t>
      </w:r>
      <w:r w:rsidR="00AD379B" w:rsidRPr="00564685">
        <w:rPr>
          <w:b/>
          <w:vertAlign w:val="subscript"/>
        </w:rPr>
        <w:t>Rx2Tx</w:t>
      </w:r>
      <w:r w:rsidR="00AD379B" w:rsidRPr="00564685">
        <w:rPr>
          <w:b/>
        </w:rPr>
        <w:t xml:space="preserve"> </w:t>
      </w:r>
      <w:r w:rsidRPr="00564685">
        <w:rPr>
          <w:b/>
        </w:rPr>
        <w:t>at the node</w:t>
      </w:r>
      <w:r w:rsidR="00AD379B">
        <w:rPr>
          <w:b/>
        </w:rPr>
        <w:t xml:space="preserve"> and at its parent node</w:t>
      </w:r>
      <w:r w:rsidRPr="00564685">
        <w:rPr>
          <w:b/>
        </w:rPr>
        <w:t>.</w:t>
      </w:r>
    </w:p>
    <w:p w:rsidR="006265D9" w:rsidRDefault="0014203B" w:rsidP="006265D9">
      <w:r>
        <w:t xml:space="preserve">In reference to </w:t>
      </w:r>
      <w:r>
        <w:fldChar w:fldCharType="begin"/>
      </w:r>
      <w:r>
        <w:instrText xml:space="preserve"> REF _Ref16758207 \h </w:instrText>
      </w:r>
      <w:r>
        <w:fldChar w:fldCharType="separate"/>
      </w:r>
      <w:r>
        <w:t xml:space="preserve">Figure </w:t>
      </w:r>
      <w:r>
        <w:rPr>
          <w:noProof/>
        </w:rPr>
        <w:t>3</w:t>
      </w:r>
      <w:r>
        <w:fldChar w:fldCharType="end"/>
      </w:r>
      <w:r>
        <w:t>, t</w:t>
      </w:r>
      <w:r w:rsidR="006265D9">
        <w:t xml:space="preserve">he relative gaps (negative values) or overlaps (positive values) </w:t>
      </w:r>
      <w:r w:rsidR="001C43F8">
        <w:t xml:space="preserve">at node N </w:t>
      </w:r>
      <w:r w:rsidR="006265D9">
        <w:t xml:space="preserve">are summarized in </w:t>
      </w:r>
      <w:r w:rsidR="006265D9">
        <w:fldChar w:fldCharType="begin"/>
      </w:r>
      <w:r w:rsidR="006265D9">
        <w:instrText xml:space="preserve"> REF _Ref16781822 \h </w:instrText>
      </w:r>
      <w:r w:rsidR="006265D9">
        <w:fldChar w:fldCharType="separate"/>
      </w:r>
      <w:r>
        <w:t xml:space="preserve">Table </w:t>
      </w:r>
      <w:r>
        <w:rPr>
          <w:noProof/>
        </w:rPr>
        <w:t>1</w:t>
      </w:r>
      <w:r w:rsidR="006265D9">
        <w:fldChar w:fldCharType="end"/>
      </w:r>
      <w:r w:rsidR="006265D9">
        <w:t xml:space="preserve"> and </w:t>
      </w:r>
      <w:r w:rsidR="006265D9">
        <w:fldChar w:fldCharType="begin"/>
      </w:r>
      <w:r w:rsidR="006265D9">
        <w:instrText xml:space="preserve"> REF _Ref16781838 \h </w:instrText>
      </w:r>
      <w:r w:rsidR="006265D9">
        <w:fldChar w:fldCharType="separate"/>
      </w:r>
      <w:r>
        <w:t xml:space="preserve">Table </w:t>
      </w:r>
      <w:r>
        <w:rPr>
          <w:noProof/>
        </w:rPr>
        <w:t>2</w:t>
      </w:r>
      <w:r w:rsidR="006265D9">
        <w:fldChar w:fldCharType="end"/>
      </w:r>
      <w:r w:rsidR="006265D9">
        <w:t xml:space="preserve"> for the MT to DU transitions and the DU to MT transitions respectively.</w: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6265D9" w:rsidTr="0050619D">
        <w:tc>
          <w:tcPr>
            <w:tcW w:w="3209" w:type="dxa"/>
            <w:vAlign w:val="center"/>
          </w:tcPr>
          <w:p w:rsidR="006265D9" w:rsidRDefault="006265D9" w:rsidP="0050619D">
            <w:pPr>
              <w:pStyle w:val="TH"/>
              <w:spacing w:after="60"/>
            </w:pPr>
            <w:r>
              <w:lastRenderedPageBreak/>
              <w:t>MT to DU</w:t>
            </w:r>
          </w:p>
        </w:tc>
        <w:tc>
          <w:tcPr>
            <w:tcW w:w="3210" w:type="dxa"/>
            <w:vAlign w:val="center"/>
          </w:tcPr>
          <w:p w:rsidR="006265D9" w:rsidRDefault="006265D9" w:rsidP="0050619D">
            <w:pPr>
              <w:pStyle w:val="TH"/>
              <w:spacing w:after="60"/>
            </w:pPr>
            <w:r>
              <w:t>DL Tx</w:t>
            </w:r>
          </w:p>
        </w:tc>
        <w:tc>
          <w:tcPr>
            <w:tcW w:w="3210" w:type="dxa"/>
            <w:vAlign w:val="center"/>
          </w:tcPr>
          <w:p w:rsidR="006265D9" w:rsidRDefault="006265D9" w:rsidP="0050619D">
            <w:pPr>
              <w:pStyle w:val="TH"/>
              <w:spacing w:after="60"/>
            </w:pPr>
            <w:r>
              <w:t>UL Rx</w:t>
            </w:r>
          </w:p>
        </w:tc>
      </w:tr>
      <w:tr w:rsidR="006265D9" w:rsidTr="0050619D">
        <w:tc>
          <w:tcPr>
            <w:tcW w:w="3209" w:type="dxa"/>
            <w:vAlign w:val="center"/>
          </w:tcPr>
          <w:p w:rsidR="006265D9" w:rsidRDefault="006265D9" w:rsidP="0050619D">
            <w:pPr>
              <w:pStyle w:val="TH"/>
              <w:spacing w:after="60"/>
            </w:pPr>
            <w:r>
              <w:t>DL Rx</w:t>
            </w:r>
          </w:p>
        </w:tc>
        <w:tc>
          <w:tcPr>
            <w:tcW w:w="3210" w:type="dxa"/>
            <w:vAlign w:val="center"/>
          </w:tcPr>
          <w:p w:rsidR="006265D9" w:rsidRDefault="006265D9" w:rsidP="0050619D">
            <w:pPr>
              <w:spacing w:after="0"/>
              <w:jc w:val="center"/>
            </w:pPr>
            <w:r>
              <w:t>Tp</w:t>
            </w:r>
          </w:p>
        </w:tc>
        <w:tc>
          <w:tcPr>
            <w:tcW w:w="3210" w:type="dxa"/>
            <w:vAlign w:val="center"/>
          </w:tcPr>
          <w:p w:rsidR="006265D9" w:rsidRDefault="006265D9" w:rsidP="0050619D">
            <w:pPr>
              <w:spacing w:after="0"/>
              <w:jc w:val="center"/>
            </w:pPr>
            <w:r w:rsidRPr="0010641A">
              <w:t>Tp + G</w:t>
            </w:r>
            <w:r w:rsidRPr="0010641A">
              <w:rPr>
                <w:vertAlign w:val="subscript"/>
              </w:rPr>
              <w:t>Rx2Tx</w:t>
            </w:r>
            <w:r w:rsidRPr="0010641A">
              <w:t>( N )</w:t>
            </w:r>
          </w:p>
        </w:tc>
      </w:tr>
      <w:tr w:rsidR="006265D9" w:rsidTr="0050619D">
        <w:tc>
          <w:tcPr>
            <w:tcW w:w="3209" w:type="dxa"/>
            <w:vAlign w:val="center"/>
          </w:tcPr>
          <w:p w:rsidR="006265D9" w:rsidRDefault="006265D9" w:rsidP="0050619D">
            <w:pPr>
              <w:pStyle w:val="TH"/>
              <w:spacing w:after="60"/>
            </w:pPr>
            <w:r>
              <w:t>UL Tx</w:t>
            </w:r>
          </w:p>
        </w:tc>
        <w:tc>
          <w:tcPr>
            <w:tcW w:w="3210" w:type="dxa"/>
            <w:vAlign w:val="center"/>
          </w:tcPr>
          <w:p w:rsidR="006265D9" w:rsidRPr="0010641A" w:rsidRDefault="006265D9" w:rsidP="0050619D">
            <w:pPr>
              <w:spacing w:after="0"/>
              <w:jc w:val="center"/>
              <w:rPr>
                <w:lang w:val="en-US"/>
              </w:rPr>
            </w:pPr>
            <w:r w:rsidRPr="0010641A">
              <w:rPr>
                <w:lang w:val="en-US"/>
              </w:rPr>
              <w:t>-(Tp + G</w:t>
            </w:r>
            <w:r w:rsidRPr="0010641A">
              <w:rPr>
                <w:vertAlign w:val="subscript"/>
                <w:lang w:val="en-US"/>
              </w:rPr>
              <w:t>Rx2Tx</w:t>
            </w:r>
            <w:r w:rsidRPr="0010641A">
              <w:rPr>
                <w:lang w:val="en-US"/>
              </w:rPr>
              <w:t>( N-1 ))</w:t>
            </w:r>
          </w:p>
        </w:tc>
        <w:tc>
          <w:tcPr>
            <w:tcW w:w="3210" w:type="dxa"/>
            <w:vAlign w:val="center"/>
          </w:tcPr>
          <w:p w:rsidR="006265D9" w:rsidRPr="0010641A" w:rsidRDefault="006265D9" w:rsidP="0050619D">
            <w:pPr>
              <w:spacing w:after="0"/>
              <w:jc w:val="center"/>
              <w:rPr>
                <w:lang w:val="en-US"/>
              </w:rPr>
            </w:pPr>
            <w:r w:rsidRPr="0010641A">
              <w:rPr>
                <w:lang w:val="en-US"/>
              </w:rPr>
              <w:t>- (Tp + G</w:t>
            </w:r>
            <w:r w:rsidRPr="0010641A">
              <w:rPr>
                <w:vertAlign w:val="subscript"/>
                <w:lang w:val="en-US"/>
              </w:rPr>
              <w:t>Rx2Tx</w:t>
            </w:r>
            <w:r w:rsidRPr="0010641A">
              <w:rPr>
                <w:lang w:val="en-US"/>
              </w:rPr>
              <w:t>( N-1 ) - G</w:t>
            </w:r>
            <w:r w:rsidRPr="0010641A">
              <w:rPr>
                <w:vertAlign w:val="subscript"/>
                <w:lang w:val="en-US"/>
              </w:rPr>
              <w:t>Rx2Tx</w:t>
            </w:r>
            <w:r w:rsidRPr="0010641A">
              <w:rPr>
                <w:lang w:val="en-US"/>
              </w:rPr>
              <w:t>( N ))</w:t>
            </w:r>
          </w:p>
        </w:tc>
      </w:tr>
    </w:tbl>
    <w:p w:rsidR="006265D9" w:rsidRDefault="006265D9" w:rsidP="006265D9">
      <w:pPr>
        <w:pStyle w:val="Caption"/>
        <w:jc w:val="center"/>
      </w:pPr>
      <w:bookmarkStart w:id="5" w:name="_Ref16781822"/>
      <w:r>
        <w:t xml:space="preserve">Table </w:t>
      </w:r>
      <w:r>
        <w:fldChar w:fldCharType="begin"/>
      </w:r>
      <w:r>
        <w:instrText xml:space="preserve"> SEQ Table \* ARABIC </w:instrText>
      </w:r>
      <w:r>
        <w:fldChar w:fldCharType="separate"/>
      </w:r>
      <w:r w:rsidR="0014203B">
        <w:rPr>
          <w:noProof/>
        </w:rPr>
        <w:t>1</w:t>
      </w:r>
      <w:r>
        <w:fldChar w:fldCharType="end"/>
      </w:r>
      <w:bookmarkEnd w:id="5"/>
      <w:r>
        <w:t xml:space="preserve"> – Timing gap / overlap for MT to DU transitions</w:t>
      </w:r>
    </w:p>
    <w:tbl>
      <w:tblPr>
        <w:tblStyle w:val="TableGrid"/>
        <w:tblW w:w="0" w:type="auto"/>
        <w:tblCellMar>
          <w:left w:w="115" w:type="dxa"/>
          <w:right w:w="115" w:type="dxa"/>
        </w:tblCellMar>
        <w:tblLook w:val="0680" w:firstRow="0" w:lastRow="0" w:firstColumn="1" w:lastColumn="0" w:noHBand="1" w:noVBand="1"/>
      </w:tblPr>
      <w:tblGrid>
        <w:gridCol w:w="3209"/>
        <w:gridCol w:w="3210"/>
        <w:gridCol w:w="3210"/>
      </w:tblGrid>
      <w:tr w:rsidR="006265D9" w:rsidTr="0050619D">
        <w:tc>
          <w:tcPr>
            <w:tcW w:w="3209" w:type="dxa"/>
            <w:vAlign w:val="center"/>
          </w:tcPr>
          <w:p w:rsidR="006265D9" w:rsidRDefault="006265D9" w:rsidP="0050619D">
            <w:pPr>
              <w:pStyle w:val="TH"/>
              <w:spacing w:after="60"/>
            </w:pPr>
            <w:r>
              <w:t>DU to MT</w:t>
            </w:r>
          </w:p>
        </w:tc>
        <w:tc>
          <w:tcPr>
            <w:tcW w:w="3210" w:type="dxa"/>
            <w:vAlign w:val="center"/>
          </w:tcPr>
          <w:p w:rsidR="006265D9" w:rsidRDefault="006265D9" w:rsidP="0050619D">
            <w:pPr>
              <w:pStyle w:val="TH"/>
              <w:spacing w:after="60"/>
            </w:pPr>
            <w:r>
              <w:t>DL Rx</w:t>
            </w:r>
          </w:p>
        </w:tc>
        <w:tc>
          <w:tcPr>
            <w:tcW w:w="3210" w:type="dxa"/>
            <w:vAlign w:val="center"/>
          </w:tcPr>
          <w:p w:rsidR="006265D9" w:rsidRDefault="006265D9" w:rsidP="0050619D">
            <w:pPr>
              <w:pStyle w:val="TH"/>
              <w:spacing w:after="60"/>
            </w:pPr>
            <w:r>
              <w:t>UL Tx</w:t>
            </w:r>
          </w:p>
        </w:tc>
      </w:tr>
      <w:tr w:rsidR="006265D9" w:rsidTr="0050619D">
        <w:tc>
          <w:tcPr>
            <w:tcW w:w="3209" w:type="dxa"/>
            <w:vAlign w:val="center"/>
          </w:tcPr>
          <w:p w:rsidR="006265D9" w:rsidRDefault="006265D9" w:rsidP="0050619D">
            <w:pPr>
              <w:pStyle w:val="TH"/>
              <w:spacing w:after="60"/>
            </w:pPr>
            <w:r>
              <w:t>DL Tx</w:t>
            </w:r>
          </w:p>
        </w:tc>
        <w:tc>
          <w:tcPr>
            <w:tcW w:w="3210" w:type="dxa"/>
            <w:vAlign w:val="center"/>
          </w:tcPr>
          <w:p w:rsidR="006265D9" w:rsidRDefault="006265D9" w:rsidP="0050619D">
            <w:pPr>
              <w:spacing w:after="0"/>
              <w:jc w:val="center"/>
            </w:pPr>
            <w:r>
              <w:t>-Tp</w:t>
            </w:r>
          </w:p>
        </w:tc>
        <w:tc>
          <w:tcPr>
            <w:tcW w:w="3210" w:type="dxa"/>
            <w:vAlign w:val="center"/>
          </w:tcPr>
          <w:p w:rsidR="006265D9" w:rsidRDefault="006265D9" w:rsidP="0050619D">
            <w:pPr>
              <w:spacing w:after="0"/>
              <w:jc w:val="center"/>
            </w:pPr>
            <w:r w:rsidRPr="0010641A">
              <w:t>Tp + G</w:t>
            </w:r>
            <w:r w:rsidRPr="0010641A">
              <w:rPr>
                <w:vertAlign w:val="subscript"/>
              </w:rPr>
              <w:t>Rx2Tx</w:t>
            </w:r>
            <w:r w:rsidRPr="0010641A">
              <w:t>( N</w:t>
            </w:r>
            <w:r>
              <w:t>-1</w:t>
            </w:r>
            <w:r w:rsidRPr="0010641A">
              <w:t xml:space="preserve"> )</w:t>
            </w:r>
          </w:p>
        </w:tc>
      </w:tr>
      <w:tr w:rsidR="006265D9" w:rsidTr="0050619D">
        <w:tc>
          <w:tcPr>
            <w:tcW w:w="3209" w:type="dxa"/>
            <w:vAlign w:val="center"/>
          </w:tcPr>
          <w:p w:rsidR="006265D9" w:rsidRDefault="006265D9" w:rsidP="0050619D">
            <w:pPr>
              <w:pStyle w:val="TH"/>
              <w:spacing w:after="60"/>
            </w:pPr>
            <w:r>
              <w:t>UL Rx</w:t>
            </w:r>
          </w:p>
        </w:tc>
        <w:tc>
          <w:tcPr>
            <w:tcW w:w="3210" w:type="dxa"/>
            <w:vAlign w:val="center"/>
          </w:tcPr>
          <w:p w:rsidR="006265D9" w:rsidRPr="0010641A" w:rsidRDefault="006265D9" w:rsidP="0050619D">
            <w:pPr>
              <w:spacing w:after="0"/>
              <w:jc w:val="center"/>
              <w:rPr>
                <w:lang w:val="en-US"/>
              </w:rPr>
            </w:pPr>
            <w:r w:rsidRPr="0010641A">
              <w:rPr>
                <w:lang w:val="en-US"/>
              </w:rPr>
              <w:t>-(Tp + G</w:t>
            </w:r>
            <w:r w:rsidRPr="0010641A">
              <w:rPr>
                <w:vertAlign w:val="subscript"/>
                <w:lang w:val="en-US"/>
              </w:rPr>
              <w:t>Rx2Tx</w:t>
            </w:r>
            <w:r>
              <w:rPr>
                <w:lang w:val="en-US"/>
              </w:rPr>
              <w:t>( N</w:t>
            </w:r>
            <w:r w:rsidRPr="0010641A">
              <w:rPr>
                <w:lang w:val="en-US"/>
              </w:rPr>
              <w:t xml:space="preserve"> ))</w:t>
            </w:r>
          </w:p>
        </w:tc>
        <w:tc>
          <w:tcPr>
            <w:tcW w:w="3210" w:type="dxa"/>
            <w:vAlign w:val="center"/>
          </w:tcPr>
          <w:p w:rsidR="006265D9" w:rsidRPr="0010641A" w:rsidRDefault="006265D9" w:rsidP="0050619D">
            <w:pPr>
              <w:spacing w:after="0"/>
              <w:jc w:val="center"/>
              <w:rPr>
                <w:lang w:val="en-US"/>
              </w:rPr>
            </w:pPr>
            <w:r w:rsidRPr="0010641A">
              <w:rPr>
                <w:lang w:val="en-US"/>
              </w:rPr>
              <w:t>Tp + G</w:t>
            </w:r>
            <w:r w:rsidRPr="0010641A">
              <w:rPr>
                <w:vertAlign w:val="subscript"/>
                <w:lang w:val="en-US"/>
              </w:rPr>
              <w:t>Rx2Tx</w:t>
            </w:r>
            <w:r w:rsidRPr="0010641A">
              <w:rPr>
                <w:lang w:val="en-US"/>
              </w:rPr>
              <w:t>( N-1 ) - G</w:t>
            </w:r>
            <w:r w:rsidRPr="0010641A">
              <w:rPr>
                <w:vertAlign w:val="subscript"/>
                <w:lang w:val="en-US"/>
              </w:rPr>
              <w:t>Rx2Tx</w:t>
            </w:r>
            <w:r>
              <w:rPr>
                <w:lang w:val="en-US"/>
              </w:rPr>
              <w:t>( N )</w:t>
            </w:r>
          </w:p>
        </w:tc>
      </w:tr>
    </w:tbl>
    <w:p w:rsidR="006265D9" w:rsidRDefault="006265D9" w:rsidP="006265D9">
      <w:pPr>
        <w:pStyle w:val="Caption"/>
        <w:jc w:val="center"/>
      </w:pPr>
      <w:bookmarkStart w:id="6" w:name="_Ref16781838"/>
      <w:r>
        <w:t xml:space="preserve">Table </w:t>
      </w:r>
      <w:r>
        <w:fldChar w:fldCharType="begin"/>
      </w:r>
      <w:r>
        <w:instrText xml:space="preserve"> SEQ Table \* ARABIC </w:instrText>
      </w:r>
      <w:r>
        <w:fldChar w:fldCharType="separate"/>
      </w:r>
      <w:r w:rsidR="0014203B">
        <w:rPr>
          <w:noProof/>
        </w:rPr>
        <w:t>2</w:t>
      </w:r>
      <w:r>
        <w:fldChar w:fldCharType="end"/>
      </w:r>
      <w:bookmarkEnd w:id="6"/>
      <w:r>
        <w:t xml:space="preserve"> – Timing gap / overlap for DU to MT transitions</w:t>
      </w:r>
    </w:p>
    <w:p w:rsidR="006265D9" w:rsidRDefault="006265D9" w:rsidP="006265D9"/>
    <w:p w:rsidR="006265D9" w:rsidRPr="002A6001" w:rsidRDefault="006265D9" w:rsidP="006265D9">
      <w:pPr>
        <w:rPr>
          <w:bCs/>
        </w:rPr>
      </w:pPr>
      <w:r>
        <w:t>It can be observed that all the above quantities are known at the IAB node</w:t>
      </w:r>
      <w:r w:rsidR="002423F1">
        <w:t xml:space="preserve"> (note that </w:t>
      </w:r>
      <w:r w:rsidR="002423F1" w:rsidRPr="0010641A">
        <w:rPr>
          <w:lang w:val="en-US"/>
        </w:rPr>
        <w:t>G</w:t>
      </w:r>
      <w:r w:rsidR="002423F1" w:rsidRPr="0010641A">
        <w:rPr>
          <w:vertAlign w:val="subscript"/>
          <w:lang w:val="en-US"/>
        </w:rPr>
        <w:t>Rx2Tx</w:t>
      </w:r>
      <w:r w:rsidR="002423F1" w:rsidRPr="0010641A">
        <w:rPr>
          <w:lang w:val="en-US"/>
        </w:rPr>
        <w:t>( N-1 )</w:t>
      </w:r>
      <w:r w:rsidR="002423F1">
        <w:rPr>
          <w:lang w:val="en-US"/>
        </w:rPr>
        <w:t xml:space="preserve"> is </w:t>
      </w:r>
      <w:r w:rsidR="007C15F9">
        <w:rPr>
          <w:lang w:val="en-US"/>
        </w:rPr>
        <w:t xml:space="preserve">indirectly </w:t>
      </w:r>
      <w:r w:rsidR="002423F1">
        <w:rPr>
          <w:lang w:val="en-US"/>
        </w:rPr>
        <w:t>communicated</w:t>
      </w:r>
      <w:r w:rsidR="00D95D57">
        <w:rPr>
          <w:lang w:val="en-US"/>
        </w:rPr>
        <w:t xml:space="preserve"> </w:t>
      </w:r>
      <w:r w:rsidR="007C15F9">
        <w:rPr>
          <w:lang w:val="en-US"/>
        </w:rPr>
        <w:t>to node</w:t>
      </w:r>
      <w:r w:rsidR="00D95D57">
        <w:rPr>
          <w:lang w:val="en-US"/>
        </w:rPr>
        <w:t xml:space="preserve"> N</w:t>
      </w:r>
      <w:r w:rsidR="002423F1">
        <w:rPr>
          <w:lang w:val="en-US"/>
        </w:rPr>
        <w:t xml:space="preserve"> via T_delta</w:t>
      </w:r>
      <w:r w:rsidR="00A13800">
        <w:rPr>
          <w:lang w:val="en-US"/>
        </w:rPr>
        <w:t xml:space="preserve"> </w:t>
      </w:r>
      <w:r w:rsidR="007C15F9">
        <w:rPr>
          <w:lang w:val="en-US"/>
        </w:rPr>
        <w:t xml:space="preserve">of the parent node N-1 </w:t>
      </w:r>
      <w:r w:rsidR="00A13800">
        <w:rPr>
          <w:lang w:val="en-US"/>
        </w:rPr>
        <w:t>in the context of OTA synchronization</w:t>
      </w:r>
      <w:r w:rsidR="002423F1">
        <w:t>)</w:t>
      </w:r>
      <w:r>
        <w:t xml:space="preserve"> but not necessarily at the parent node or at the CU unless additional information is provided to them.</w:t>
      </w:r>
      <w:r w:rsidR="001927BB">
        <w:t xml:space="preserve"> </w:t>
      </w:r>
      <w:r w:rsidR="0026432B">
        <w:t>Minimally</w:t>
      </w:r>
      <w:r w:rsidR="00F475E2">
        <w:t xml:space="preserve">, parent node N-1 would need to know </w:t>
      </w:r>
      <w:r w:rsidR="00F475E2" w:rsidRPr="0010641A">
        <w:rPr>
          <w:lang w:val="en-US"/>
        </w:rPr>
        <w:t>G</w:t>
      </w:r>
      <w:r w:rsidR="00F475E2" w:rsidRPr="0010641A">
        <w:rPr>
          <w:vertAlign w:val="subscript"/>
          <w:lang w:val="en-US"/>
        </w:rPr>
        <w:t>Rx2Tx</w:t>
      </w:r>
      <w:r w:rsidR="00F475E2" w:rsidRPr="0010641A">
        <w:rPr>
          <w:lang w:val="en-US"/>
        </w:rPr>
        <w:t>( N )</w:t>
      </w:r>
      <w:r w:rsidR="00F475E2">
        <w:t>, considering some estimation of Tp could be done at the parent node N-1</w:t>
      </w:r>
      <w:r w:rsidR="008C681A">
        <w:t>.</w:t>
      </w:r>
      <w:r w:rsidR="00F475E2">
        <w:t xml:space="preserve"> </w:t>
      </w:r>
      <w:r w:rsidR="002A6001">
        <w:rPr>
          <w:rStyle w:val="Strong"/>
          <w:b w:val="0"/>
        </w:rPr>
        <w:t>Depending on the allowed range for the Rx to Tx switch time, the effect of this value could be upper bounded, also considering that ultimately, from a conflict resolution point of view, the maximum resolution is symbol level and hence it is only important to characterize the length of potential overlaps in terms of number of symbols.</w:t>
      </w:r>
    </w:p>
    <w:p w:rsidR="00DE388A" w:rsidRPr="004F4239" w:rsidRDefault="00DE388A" w:rsidP="00DE388A">
      <w:pPr>
        <w:rPr>
          <w:rStyle w:val="Strong"/>
          <w:u w:val="single"/>
        </w:rPr>
      </w:pPr>
      <w:r>
        <w:rPr>
          <w:rStyle w:val="Strong"/>
          <w:u w:val="single"/>
        </w:rPr>
        <w:t xml:space="preserve">Observation </w:t>
      </w:r>
      <w:r w:rsidR="00A8145A">
        <w:rPr>
          <w:rStyle w:val="Strong"/>
          <w:u w:val="single"/>
        </w:rPr>
        <w:t>3</w:t>
      </w:r>
      <w:r w:rsidRPr="004F4239">
        <w:rPr>
          <w:rStyle w:val="Strong"/>
          <w:u w:val="single"/>
        </w:rPr>
        <w:t>:</w:t>
      </w:r>
    </w:p>
    <w:p w:rsidR="001E0CA5" w:rsidRPr="008C5A4C" w:rsidRDefault="00DE388A" w:rsidP="00DE388A">
      <w:pPr>
        <w:rPr>
          <w:b/>
        </w:rPr>
      </w:pPr>
      <w:r>
        <w:rPr>
          <w:b/>
        </w:rPr>
        <w:t xml:space="preserve">In order </w:t>
      </w:r>
      <w:r w:rsidR="00E6531E">
        <w:rPr>
          <w:b/>
        </w:rPr>
        <w:t xml:space="preserve">for the parent node to accurately compute the gaps and overlaps for the </w:t>
      </w:r>
      <w:r w:rsidR="0033560C">
        <w:rPr>
          <w:b/>
        </w:rPr>
        <w:t>various</w:t>
      </w:r>
      <w:r w:rsidR="00E6531E">
        <w:rPr>
          <w:b/>
        </w:rPr>
        <w:t xml:space="preserve"> MT to DU Tx/Rx transitions at the child node, minimally the Rx to Tx switch time of the child node needs to be provided.</w:t>
      </w:r>
      <w:r w:rsidR="002A6001">
        <w:rPr>
          <w:b/>
        </w:rPr>
        <w:t xml:space="preserve"> </w:t>
      </w:r>
      <w:r w:rsidR="0033560C">
        <w:rPr>
          <w:b/>
        </w:rPr>
        <w:t>However,</w:t>
      </w:r>
      <w:r w:rsidR="002A6001">
        <w:rPr>
          <w:b/>
        </w:rPr>
        <w:t xml:space="preserve"> the </w:t>
      </w:r>
      <w:r w:rsidR="006D74A4">
        <w:rPr>
          <w:b/>
        </w:rPr>
        <w:t>required accuracy for proactive conflict avoidance by the parent node is symbol level, hence it may not be strictly required to compute the overlaps with greater resolution</w:t>
      </w:r>
      <w:r w:rsidR="00AB0305">
        <w:rPr>
          <w:b/>
        </w:rPr>
        <w:t>. As a result, using</w:t>
      </w:r>
      <w:r w:rsidR="006D74A4">
        <w:rPr>
          <w:b/>
        </w:rPr>
        <w:t xml:space="preserve"> </w:t>
      </w:r>
      <w:r w:rsidR="00AB0305">
        <w:rPr>
          <w:b/>
        </w:rPr>
        <w:t xml:space="preserve">a </w:t>
      </w:r>
      <w:r w:rsidR="006D74A4">
        <w:rPr>
          <w:b/>
        </w:rPr>
        <w:t>bound</w:t>
      </w:r>
      <w:r w:rsidR="00A8145A">
        <w:rPr>
          <w:b/>
        </w:rPr>
        <w:t xml:space="preserve"> and not requiring signalling of additional information</w:t>
      </w:r>
      <w:r w:rsidR="006D74A4">
        <w:rPr>
          <w:b/>
        </w:rPr>
        <w:t xml:space="preserve"> </w:t>
      </w:r>
      <w:r w:rsidR="00C00051">
        <w:rPr>
          <w:b/>
        </w:rPr>
        <w:t>is deemed sufficient for Rel-16, also considering residual conflicts can be dealt by the child node</w:t>
      </w:r>
      <w:r w:rsidR="006D74A4">
        <w:rPr>
          <w:b/>
        </w:rPr>
        <w:t>.</w:t>
      </w:r>
    </w:p>
    <w:p w:rsidR="008C5A4C" w:rsidRDefault="004A5217" w:rsidP="008C5A4C">
      <w:pPr>
        <w:pStyle w:val="Heading3"/>
      </w:pPr>
      <w:r w:rsidRPr="004A5217">
        <w:t xml:space="preserve">Explicit </w:t>
      </w:r>
      <w:r w:rsidR="0090068A">
        <w:t>indication of resource availability</w:t>
      </w:r>
    </w:p>
    <w:p w:rsidR="0090068A" w:rsidRDefault="0090068A" w:rsidP="0090068A">
      <w:r>
        <w:t xml:space="preserve">In RAN1 #98 </w:t>
      </w:r>
      <w:r w:rsidR="009428AF">
        <w:t xml:space="preserve">[1] </w:t>
      </w:r>
      <w:r>
        <w:t>it was agreed that:</w:t>
      </w:r>
    </w:p>
    <w:tbl>
      <w:tblPr>
        <w:tblStyle w:val="TableGrid"/>
        <w:tblW w:w="0" w:type="auto"/>
        <w:tblLook w:val="04A0" w:firstRow="1" w:lastRow="0" w:firstColumn="1" w:lastColumn="0" w:noHBand="0" w:noVBand="1"/>
      </w:tblPr>
      <w:tblGrid>
        <w:gridCol w:w="9629"/>
      </w:tblGrid>
      <w:tr w:rsidR="0090068A" w:rsidTr="0090068A">
        <w:tc>
          <w:tcPr>
            <w:tcW w:w="9629" w:type="dxa"/>
          </w:tcPr>
          <w:p w:rsidR="006E75A7" w:rsidRPr="008A6A9C" w:rsidRDefault="006E75A7" w:rsidP="006E75A7">
            <w:pPr>
              <w:ind w:left="1440" w:hanging="1440"/>
              <w:rPr>
                <w:lang w:eastAsia="x-none"/>
              </w:rPr>
            </w:pPr>
            <w:r w:rsidRPr="008A6A9C">
              <w:rPr>
                <w:highlight w:val="green"/>
                <w:lang w:eastAsia="x-none"/>
              </w:rPr>
              <w:t>Agreements</w:t>
            </w:r>
            <w:r w:rsidRPr="008A6A9C">
              <w:rPr>
                <w:lang w:eastAsia="x-none"/>
              </w:rPr>
              <w:t>:</w:t>
            </w:r>
          </w:p>
          <w:p w:rsidR="006E75A7" w:rsidRPr="008A6A9C" w:rsidRDefault="006E75A7" w:rsidP="006E75A7">
            <w:pPr>
              <w:rPr>
                <w:rFonts w:eastAsia="Calibri"/>
              </w:rPr>
            </w:pPr>
            <w:r w:rsidRPr="008A6A9C">
              <w:rPr>
                <w:rFonts w:eastAsia="Calibri"/>
              </w:rPr>
              <w:t>For the explicit indication of DU-IA:</w:t>
            </w:r>
          </w:p>
          <w:p w:rsidR="006E75A7" w:rsidRPr="008A6A9C" w:rsidRDefault="006E75A7" w:rsidP="006E75A7">
            <w:pPr>
              <w:pStyle w:val="ListParagraph"/>
              <w:numPr>
                <w:ilvl w:val="0"/>
                <w:numId w:val="16"/>
              </w:numPr>
              <w:overflowPunct/>
              <w:autoSpaceDE/>
              <w:autoSpaceDN/>
              <w:adjustRightInd/>
              <w:spacing w:before="60" w:after="120"/>
              <w:jc w:val="both"/>
              <w:textAlignment w:val="auto"/>
              <w:rPr>
                <w:rFonts w:eastAsia="Calibri"/>
              </w:rPr>
            </w:pPr>
            <w:r w:rsidRPr="008A6A9C">
              <w:rPr>
                <w:rFonts w:eastAsia="Calibri"/>
              </w:rPr>
              <w:t xml:space="preserve">At least DU-IA can be indicated independently of the MT resource configuration:  </w:t>
            </w:r>
          </w:p>
          <w:p w:rsidR="006E75A7" w:rsidRPr="008A6A9C" w:rsidRDefault="006E75A7" w:rsidP="006E75A7">
            <w:pPr>
              <w:pStyle w:val="ListParagraph"/>
              <w:numPr>
                <w:ilvl w:val="1"/>
                <w:numId w:val="16"/>
              </w:numPr>
              <w:overflowPunct/>
              <w:autoSpaceDE/>
              <w:autoSpaceDN/>
              <w:adjustRightInd/>
              <w:spacing w:before="60" w:after="120"/>
              <w:jc w:val="both"/>
              <w:textAlignment w:val="auto"/>
              <w:rPr>
                <w:rFonts w:eastAsia="Calibri"/>
              </w:rPr>
            </w:pPr>
            <w:r w:rsidRPr="008A6A9C">
              <w:rPr>
                <w:rFonts w:eastAsia="Calibri"/>
              </w:rPr>
              <w:t>FFS the DCI indicates DU-IA per-resource type (D/U/F), slot, etc.</w:t>
            </w:r>
          </w:p>
          <w:p w:rsidR="006E75A7" w:rsidRPr="008A6A9C" w:rsidRDefault="006E75A7" w:rsidP="006E75A7">
            <w:pPr>
              <w:pStyle w:val="ListParagraph"/>
              <w:numPr>
                <w:ilvl w:val="0"/>
                <w:numId w:val="16"/>
              </w:numPr>
              <w:overflowPunct/>
              <w:autoSpaceDE/>
              <w:autoSpaceDN/>
              <w:adjustRightInd/>
              <w:spacing w:before="60" w:after="120"/>
              <w:jc w:val="both"/>
              <w:textAlignment w:val="auto"/>
              <w:rPr>
                <w:rFonts w:eastAsia="Calibri"/>
              </w:rPr>
            </w:pPr>
            <w:r w:rsidRPr="008A6A9C">
              <w:rPr>
                <w:rFonts w:eastAsia="Calibri"/>
              </w:rPr>
              <w:t>FFS: Whether this indication is via a new DCI format or DCI Format 2_0 using existing and/or reserved entries of Table 11.1.1-1 in 38.213</w:t>
            </w:r>
          </w:p>
          <w:p w:rsidR="0090068A" w:rsidRPr="006E75A7" w:rsidRDefault="006E75A7" w:rsidP="008C5A4C">
            <w:pPr>
              <w:pStyle w:val="ListParagraph"/>
              <w:numPr>
                <w:ilvl w:val="0"/>
                <w:numId w:val="16"/>
              </w:numPr>
              <w:overflowPunct/>
              <w:autoSpaceDE/>
              <w:autoSpaceDN/>
              <w:adjustRightInd/>
              <w:spacing w:before="60" w:after="120"/>
              <w:jc w:val="both"/>
              <w:textAlignment w:val="auto"/>
              <w:rPr>
                <w:rFonts w:eastAsia="Calibri"/>
              </w:rPr>
            </w:pPr>
            <w:r w:rsidRPr="008A6A9C">
              <w:rPr>
                <w:rFonts w:eastAsia="Calibri"/>
              </w:rPr>
              <w:t xml:space="preserve">FFS: Whether for the purpose of signaling optimization a DU/MT resource type can additionally be jointly indicated with DU-IA which overrides the flexible resources in the semi-static DU/MT resource configuration </w:t>
            </w:r>
          </w:p>
        </w:tc>
      </w:tr>
    </w:tbl>
    <w:p w:rsidR="005242BA" w:rsidRDefault="005242BA" w:rsidP="005242BA"/>
    <w:p w:rsidR="006E75A7" w:rsidRDefault="005242BA" w:rsidP="005242BA">
      <w:r>
        <w:t>T</w:t>
      </w:r>
      <w:r w:rsidR="00277746">
        <w:t xml:space="preserve">he indication of </w:t>
      </w:r>
      <w:r w:rsidR="009F7B75">
        <w:t xml:space="preserve">resource availability from a parent node is the mechanism to allow the explicit release of Soft DU resources for the child node. </w:t>
      </w:r>
      <w:r w:rsidR="00F7003D">
        <w:t xml:space="preserve">The primary use of release of Soft resources is expected to be for balancing the allocation of resources across the links to best match load </w:t>
      </w:r>
      <w:r w:rsidR="004657FF">
        <w:t xml:space="preserve">and </w:t>
      </w:r>
      <w:r w:rsidR="00F7003D">
        <w:t>capacity of each link.</w:t>
      </w:r>
      <w:r w:rsidR="00E83260">
        <w:t xml:space="preserve"> In that context it seems appropriate and sufficient to use slot resolution for the</w:t>
      </w:r>
      <w:r w:rsidR="008D777A">
        <w:t xml:space="preserve"> indication of availability.</w:t>
      </w:r>
      <w:r w:rsidR="00B448AE">
        <w:t xml:space="preserve"> Moreover, the DCI Format 2_0 framework appears to meet the requirements for this indication of </w:t>
      </w:r>
      <w:r w:rsidR="0033560C">
        <w:t>availability,</w:t>
      </w:r>
      <w:r w:rsidR="005A3546">
        <w:t xml:space="preserve"> and it is therefore preferred over the introduction of a new framework with similar characteristics.</w:t>
      </w:r>
    </w:p>
    <w:p w:rsidR="005A3546" w:rsidRPr="004F4239" w:rsidRDefault="005A3546" w:rsidP="005A3546">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5A3546" w:rsidRDefault="005A3546" w:rsidP="005A3546">
      <w:pPr>
        <w:rPr>
          <w:rStyle w:val="Strong"/>
        </w:rPr>
      </w:pPr>
      <w:r>
        <w:rPr>
          <w:rStyle w:val="Strong"/>
        </w:rPr>
        <w:t>The explicit indication of DU resource availability is provided with slot granularity with the DCI Format 2_0 framework, extended accordingly to accommodate this IAB specific requirement.</w:t>
      </w:r>
    </w:p>
    <w:p w:rsidR="008D777A" w:rsidRDefault="008D777A" w:rsidP="005242BA"/>
    <w:p w:rsidR="006E75A7" w:rsidRDefault="006E75A7" w:rsidP="006E75A7">
      <w:pPr>
        <w:pStyle w:val="Heading3"/>
      </w:pPr>
      <w:r w:rsidRPr="006E75A7">
        <w:lastRenderedPageBreak/>
        <w:t>Granularity of Hard/Soft/Not Available DU resource configuration</w:t>
      </w:r>
    </w:p>
    <w:p w:rsidR="008C5A4C" w:rsidRDefault="00D914FE" w:rsidP="006E75A7">
      <w:r>
        <w:t xml:space="preserve">The topic of </w:t>
      </w:r>
      <w:r w:rsidR="00C95326">
        <w:t xml:space="preserve">granularity of the H/S/NA DU resource attribute may require </w:t>
      </w:r>
      <w:r w:rsidR="00D73285">
        <w:t>further</w:t>
      </w:r>
      <w:r w:rsidR="00C95326">
        <w:t xml:space="preserve"> clarification. </w:t>
      </w:r>
      <w:r w:rsidR="00D73285">
        <w:t xml:space="preserve">In RAN1 #97 </w:t>
      </w:r>
      <w:r w:rsidR="009428AF">
        <w:t xml:space="preserve">[1] </w:t>
      </w:r>
      <w:r w:rsidR="00D73285">
        <w:t>it was agreed:</w:t>
      </w:r>
    </w:p>
    <w:tbl>
      <w:tblPr>
        <w:tblStyle w:val="TableGrid"/>
        <w:tblW w:w="0" w:type="auto"/>
        <w:tblLook w:val="04A0" w:firstRow="1" w:lastRow="0" w:firstColumn="1" w:lastColumn="0" w:noHBand="0" w:noVBand="1"/>
      </w:tblPr>
      <w:tblGrid>
        <w:gridCol w:w="9629"/>
      </w:tblGrid>
      <w:tr w:rsidR="00D73285" w:rsidTr="00D73285">
        <w:tc>
          <w:tcPr>
            <w:tcW w:w="9629" w:type="dxa"/>
          </w:tcPr>
          <w:p w:rsidR="00D73285" w:rsidRDefault="00D73285" w:rsidP="00D73285">
            <w:r w:rsidRPr="005C3558">
              <w:rPr>
                <w:highlight w:val="green"/>
              </w:rPr>
              <w:t>Agreements</w:t>
            </w:r>
            <w:r>
              <w:t>:</w:t>
            </w:r>
          </w:p>
          <w:p w:rsidR="00D73285" w:rsidRPr="005C3558" w:rsidRDefault="00D73285" w:rsidP="00D73285">
            <w:pPr>
              <w:pStyle w:val="maintext"/>
              <w:ind w:firstLineChars="0" w:firstLine="0"/>
              <w:jc w:val="left"/>
              <w:rPr>
                <w:rFonts w:eastAsia="Times New Roman"/>
                <w:lang w:val="en-US" w:eastAsia="en-US"/>
              </w:rPr>
            </w:pPr>
            <w:r w:rsidRPr="005C3558">
              <w:rPr>
                <w:rFonts w:eastAsia="Times New Roman"/>
                <w:lang w:val="en-US" w:eastAsia="en-US"/>
              </w:rPr>
              <w:t>For the semi-static DU resource configuration, the following is supported:</w:t>
            </w:r>
          </w:p>
          <w:p w:rsidR="00D73285" w:rsidRPr="005C3558" w:rsidRDefault="00D73285" w:rsidP="00D73285">
            <w:pPr>
              <w:pStyle w:val="maintext"/>
              <w:numPr>
                <w:ilvl w:val="0"/>
                <w:numId w:val="17"/>
              </w:numPr>
              <w:ind w:firstLineChars="0"/>
              <w:jc w:val="left"/>
              <w:rPr>
                <w:rFonts w:eastAsia="Times New Roman"/>
                <w:lang w:val="en-US" w:eastAsia="en-US"/>
              </w:rPr>
            </w:pPr>
            <w:r>
              <w:rPr>
                <w:rFonts w:eastAsia="Times New Roman"/>
                <w:lang w:val="en-US" w:eastAsia="en-US"/>
              </w:rPr>
              <w:t>[…]</w:t>
            </w:r>
          </w:p>
          <w:p w:rsidR="00D73285" w:rsidRPr="007F4799" w:rsidRDefault="007F4799" w:rsidP="007F4799">
            <w:pPr>
              <w:pStyle w:val="maintext"/>
              <w:numPr>
                <w:ilvl w:val="0"/>
                <w:numId w:val="17"/>
              </w:numPr>
              <w:ind w:firstLineChars="0"/>
              <w:jc w:val="left"/>
              <w:rPr>
                <w:rFonts w:eastAsia="Times New Roman"/>
                <w:lang w:val="en-US" w:eastAsia="en-US"/>
              </w:rPr>
            </w:pPr>
            <w:r>
              <w:rPr>
                <w:rFonts w:eastAsia="Times New Roman"/>
                <w:lang w:val="en-US" w:eastAsia="en-US"/>
              </w:rPr>
              <w:t>[…]</w:t>
            </w:r>
          </w:p>
          <w:p w:rsidR="00D73285" w:rsidRPr="005C3558" w:rsidRDefault="00D73285" w:rsidP="00D73285">
            <w:pPr>
              <w:pStyle w:val="ListParagraph"/>
              <w:numPr>
                <w:ilvl w:val="0"/>
                <w:numId w:val="17"/>
              </w:numPr>
              <w:overflowPunct/>
              <w:autoSpaceDE/>
              <w:autoSpaceDN/>
              <w:adjustRightInd/>
              <w:spacing w:before="60" w:after="120"/>
              <w:jc w:val="both"/>
              <w:textAlignment w:val="auto"/>
            </w:pPr>
            <w:r w:rsidRPr="005C3558">
              <w:rPr>
                <w:lang w:eastAsia="zh-CN"/>
              </w:rPr>
              <w:t>Indication of H/S/NA for the DU resource configuration is based on one of the following alternatives:</w:t>
            </w:r>
          </w:p>
          <w:p w:rsidR="00D73285" w:rsidRPr="007F4799" w:rsidRDefault="00D73285" w:rsidP="007F4799">
            <w:pPr>
              <w:pStyle w:val="maintext"/>
              <w:numPr>
                <w:ilvl w:val="1"/>
                <w:numId w:val="17"/>
              </w:numPr>
              <w:ind w:firstLineChars="0"/>
              <w:jc w:val="left"/>
              <w:rPr>
                <w:rFonts w:eastAsia="Times New Roman"/>
                <w:lang w:val="en-US" w:eastAsia="en-US"/>
              </w:rPr>
            </w:pPr>
            <w:r w:rsidRPr="005C3558">
              <w:rPr>
                <w:lang w:eastAsia="zh-CN"/>
              </w:rPr>
              <w:t>Alt. 1: H/S/NA is additionally explicitly indicated per-resource type (D/U/F) in each slot</w:t>
            </w:r>
          </w:p>
          <w:p w:rsidR="007F4799" w:rsidRPr="005C3558" w:rsidRDefault="007F4799" w:rsidP="007F4799">
            <w:pPr>
              <w:pStyle w:val="maintext"/>
              <w:numPr>
                <w:ilvl w:val="2"/>
                <w:numId w:val="17"/>
              </w:numPr>
              <w:ind w:firstLineChars="0"/>
              <w:jc w:val="left"/>
              <w:rPr>
                <w:rFonts w:eastAsia="Times New Roman"/>
                <w:lang w:val="en-US" w:eastAsia="en-US"/>
              </w:rPr>
            </w:pPr>
            <w:r w:rsidRPr="005C3558">
              <w:rPr>
                <w:rFonts w:eastAsia="Times New Roman"/>
                <w:lang w:val="en-US" w:eastAsia="en-US"/>
              </w:rPr>
              <w:t>To handle potential misalignment in time of the configured DU and MT resources when determining the validity of H/S/NA at the DU one of the following sub-alternatives need to be supported:</w:t>
            </w:r>
          </w:p>
          <w:p w:rsidR="007F4799" w:rsidRPr="005C3558" w:rsidRDefault="007F4799" w:rsidP="007F4799">
            <w:pPr>
              <w:pStyle w:val="ListParagraph"/>
              <w:numPr>
                <w:ilvl w:val="3"/>
                <w:numId w:val="17"/>
              </w:numPr>
              <w:overflowPunct/>
              <w:autoSpaceDE/>
              <w:autoSpaceDN/>
              <w:adjustRightInd/>
              <w:spacing w:before="60" w:after="120"/>
              <w:jc w:val="both"/>
              <w:textAlignment w:val="auto"/>
            </w:pPr>
            <w:r w:rsidRPr="005C3558">
              <w:t>1a: H/S/NA is applied relative to the DU resource configuration (D/U/F) slot timing without considering the MT resource configuration or timing.</w:t>
            </w:r>
          </w:p>
          <w:p w:rsidR="007F4799" w:rsidRPr="007F4799" w:rsidRDefault="007F4799" w:rsidP="007F4799">
            <w:pPr>
              <w:pStyle w:val="maintext"/>
              <w:numPr>
                <w:ilvl w:val="1"/>
                <w:numId w:val="17"/>
              </w:numPr>
              <w:ind w:firstLineChars="0"/>
              <w:jc w:val="left"/>
              <w:rPr>
                <w:rFonts w:eastAsia="Times New Roman"/>
                <w:lang w:val="en-US" w:eastAsia="en-US"/>
              </w:rPr>
            </w:pPr>
            <w:r>
              <w:rPr>
                <w:rFonts w:eastAsia="Times New Roman"/>
                <w:lang w:val="en-US" w:eastAsia="en-US"/>
              </w:rPr>
              <w:t>[…]</w:t>
            </w:r>
          </w:p>
        </w:tc>
      </w:tr>
    </w:tbl>
    <w:p w:rsidR="00D73285" w:rsidRDefault="00D73285" w:rsidP="006E75A7"/>
    <w:p w:rsidR="007F4799" w:rsidRDefault="007F4799" w:rsidP="006E75A7">
      <w:r>
        <w:t xml:space="preserve">In RAN1 #98 </w:t>
      </w:r>
      <w:r w:rsidR="009428AF">
        <w:t xml:space="preserve">[1] </w:t>
      </w:r>
      <w:r>
        <w:t>Alt. 1 was downselected and it was agreed:</w:t>
      </w:r>
    </w:p>
    <w:tbl>
      <w:tblPr>
        <w:tblStyle w:val="TableGrid"/>
        <w:tblW w:w="0" w:type="auto"/>
        <w:tblLook w:val="04A0" w:firstRow="1" w:lastRow="0" w:firstColumn="1" w:lastColumn="0" w:noHBand="0" w:noVBand="1"/>
      </w:tblPr>
      <w:tblGrid>
        <w:gridCol w:w="9629"/>
      </w:tblGrid>
      <w:tr w:rsidR="007F4799" w:rsidTr="007F4799">
        <w:tc>
          <w:tcPr>
            <w:tcW w:w="9629" w:type="dxa"/>
          </w:tcPr>
          <w:p w:rsidR="007F4799" w:rsidRPr="008A6A9C" w:rsidRDefault="007F4799" w:rsidP="007F4799">
            <w:pPr>
              <w:ind w:left="1440" w:hanging="1440"/>
              <w:rPr>
                <w:lang w:val="en-US" w:eastAsia="x-none"/>
              </w:rPr>
            </w:pPr>
            <w:r w:rsidRPr="008A6A9C">
              <w:rPr>
                <w:highlight w:val="green"/>
                <w:lang w:val="en-US" w:eastAsia="x-none"/>
              </w:rPr>
              <w:t>Agreements</w:t>
            </w:r>
            <w:r w:rsidRPr="008A6A9C">
              <w:rPr>
                <w:lang w:val="en-US" w:eastAsia="x-none"/>
              </w:rPr>
              <w:t>:</w:t>
            </w:r>
          </w:p>
          <w:p w:rsidR="007F4799" w:rsidRPr="008A6A9C" w:rsidRDefault="007F4799" w:rsidP="007F4799">
            <w:r w:rsidRPr="008A6A9C">
              <w:t>To handle potential misalignment in time of the configured DU and MT resources when determining the validity of H/S/NA at the DU, the following is supported:</w:t>
            </w:r>
          </w:p>
          <w:p w:rsidR="007F4799" w:rsidRPr="008A6A9C" w:rsidRDefault="007F4799" w:rsidP="007F4799">
            <w:pPr>
              <w:pStyle w:val="ListParagraph"/>
              <w:numPr>
                <w:ilvl w:val="0"/>
                <w:numId w:val="14"/>
              </w:numPr>
              <w:overflowPunct/>
              <w:autoSpaceDE/>
              <w:autoSpaceDN/>
              <w:adjustRightInd/>
              <w:spacing w:before="60" w:after="120"/>
              <w:jc w:val="both"/>
              <w:textAlignment w:val="auto"/>
            </w:pPr>
            <w:r w:rsidRPr="008A6A9C">
              <w:t xml:space="preserve">H/S/NA is applied/determined relative to the DU resource configuration (D/U/F) slot timing without considering the MT resource configuration or timing </w:t>
            </w:r>
          </w:p>
          <w:p w:rsidR="007F4799" w:rsidRPr="008A6A9C" w:rsidRDefault="007F4799" w:rsidP="007F4799">
            <w:pPr>
              <w:pStyle w:val="ListParagraph"/>
              <w:numPr>
                <w:ilvl w:val="0"/>
                <w:numId w:val="15"/>
              </w:numPr>
              <w:overflowPunct/>
              <w:autoSpaceDE/>
              <w:autoSpaceDN/>
              <w:adjustRightInd/>
              <w:spacing w:before="60" w:after="120"/>
              <w:jc w:val="both"/>
              <w:textAlignment w:val="auto"/>
            </w:pPr>
            <w:r w:rsidRPr="008A6A9C">
              <w:t>The parent DU should know the information about the misalignment between the MT and DU DL Tx/Rx / UL Tx/Rx timing(s) in order to avoid resource type conflicts</w:t>
            </w:r>
          </w:p>
          <w:p w:rsidR="007F4799" w:rsidRPr="008A6A9C" w:rsidRDefault="007F4799" w:rsidP="007F4799">
            <w:pPr>
              <w:pStyle w:val="ListParagraph"/>
              <w:numPr>
                <w:ilvl w:val="1"/>
                <w:numId w:val="15"/>
              </w:numPr>
              <w:overflowPunct/>
              <w:autoSpaceDE/>
              <w:autoSpaceDN/>
              <w:adjustRightInd/>
              <w:spacing w:before="60" w:after="120"/>
              <w:jc w:val="both"/>
              <w:textAlignment w:val="auto"/>
            </w:pPr>
            <w:r w:rsidRPr="008A6A9C">
              <w:t>FFS whether any explicit signalling is necessary or not</w:t>
            </w:r>
          </w:p>
          <w:p w:rsidR="007F4799" w:rsidRDefault="007F4799" w:rsidP="006E75A7">
            <w:pPr>
              <w:pStyle w:val="ListParagraph"/>
              <w:numPr>
                <w:ilvl w:val="0"/>
                <w:numId w:val="15"/>
              </w:numPr>
              <w:overflowPunct/>
              <w:autoSpaceDE/>
              <w:autoSpaceDN/>
              <w:adjustRightInd/>
              <w:spacing w:before="60" w:after="120"/>
              <w:jc w:val="both"/>
              <w:textAlignment w:val="auto"/>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tc>
      </w:tr>
    </w:tbl>
    <w:p w:rsidR="007F4799" w:rsidRDefault="007F4799" w:rsidP="006E75A7"/>
    <w:p w:rsidR="006E75A7" w:rsidRDefault="007D2506" w:rsidP="006E75A7">
      <w:r>
        <w:t xml:space="preserve">One interpretation of the above agreements is that the H/S/NA attribute </w:t>
      </w:r>
      <w:r w:rsidR="00D03B11">
        <w:t>can be</w:t>
      </w:r>
      <w:r>
        <w:t xml:space="preserve"> </w:t>
      </w:r>
      <w:r w:rsidR="00D03B11">
        <w:t>configured</w:t>
      </w:r>
      <w:r>
        <w:t xml:space="preserve"> </w:t>
      </w:r>
      <w:r w:rsidR="00D03B11">
        <w:t xml:space="preserve">independently </w:t>
      </w:r>
      <w:r>
        <w:t xml:space="preserve">for each D/U/F symbol in a slot. Another possible interpretation is that </w:t>
      </w:r>
      <w:r w:rsidR="001A68C4">
        <w:t xml:space="preserve">the H/S/NA attribute </w:t>
      </w:r>
      <w:r w:rsidR="00D03B11">
        <w:t>can be configured independently for each D or U or F segment (consecutive symbols) in a slot. The former obviously offers the most flexibility, however the latter seems sufficient for the foreseeable use cases.</w:t>
      </w:r>
      <w:r w:rsidR="009D03B1">
        <w:t xml:space="preserve"> Either way it should be more explicitly specified to avoid ambiguity.</w:t>
      </w:r>
    </w:p>
    <w:p w:rsidR="009D03B1" w:rsidRPr="004F4239" w:rsidRDefault="009D03B1" w:rsidP="009D03B1">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9D03B1" w:rsidRDefault="009D03B1" w:rsidP="009D03B1">
      <w:pPr>
        <w:rPr>
          <w:rStyle w:val="Strong"/>
        </w:rPr>
      </w:pPr>
      <w:r>
        <w:rPr>
          <w:rStyle w:val="Strong"/>
        </w:rPr>
        <w:t>The H/S/NA attribute for DU resources has the ability to be configured solely with slot level granularity.</w:t>
      </w:r>
    </w:p>
    <w:p w:rsidR="009D03B1" w:rsidRDefault="009D03B1" w:rsidP="009D03B1">
      <w:pPr>
        <w:rPr>
          <w:rStyle w:val="Strong"/>
        </w:rPr>
      </w:pPr>
      <w:r>
        <w:rPr>
          <w:rStyle w:val="Strong"/>
        </w:rPr>
        <w:t>The H/S/NA attribute for DU resources has the ability to be configured optionally in one of the following ways, to be downselected:</w:t>
      </w:r>
    </w:p>
    <w:p w:rsidR="009D03B1" w:rsidRPr="009D03B1" w:rsidRDefault="009D03B1" w:rsidP="009D03B1">
      <w:pPr>
        <w:pStyle w:val="ListParagraph"/>
        <w:numPr>
          <w:ilvl w:val="0"/>
          <w:numId w:val="18"/>
        </w:numPr>
      </w:pPr>
      <w:r>
        <w:rPr>
          <w:b/>
        </w:rPr>
        <w:t>Alt 1: with symbol level granularity</w:t>
      </w:r>
      <w:r w:rsidR="00932265">
        <w:rPr>
          <w:b/>
        </w:rPr>
        <w:t>.</w:t>
      </w:r>
    </w:p>
    <w:p w:rsidR="009D03B1" w:rsidRDefault="009D03B1" w:rsidP="009D03B1">
      <w:pPr>
        <w:pStyle w:val="ListParagraph"/>
        <w:numPr>
          <w:ilvl w:val="0"/>
          <w:numId w:val="18"/>
        </w:numPr>
      </w:pPr>
      <w:r>
        <w:rPr>
          <w:b/>
        </w:rPr>
        <w:t>Alt 2: with segment level (consecutive D or U or F symbols</w:t>
      </w:r>
      <w:r w:rsidR="00AC6FF0">
        <w:rPr>
          <w:b/>
        </w:rPr>
        <w:t xml:space="preserve"> </w:t>
      </w:r>
      <w:r w:rsidR="0033560C">
        <w:rPr>
          <w:b/>
        </w:rPr>
        <w:t>within</w:t>
      </w:r>
      <w:r w:rsidR="00AC6FF0">
        <w:rPr>
          <w:b/>
        </w:rPr>
        <w:t xml:space="preserve"> a slot</w:t>
      </w:r>
      <w:r>
        <w:rPr>
          <w:b/>
        </w:rPr>
        <w:t>) granularity</w:t>
      </w:r>
      <w:r w:rsidR="00932265">
        <w:rPr>
          <w:b/>
        </w:rPr>
        <w:t>.</w:t>
      </w:r>
    </w:p>
    <w:p w:rsidR="009D03B1" w:rsidRPr="006E75A7" w:rsidRDefault="009D03B1" w:rsidP="006E75A7"/>
    <w:p w:rsidR="00652213" w:rsidRDefault="007458D9" w:rsidP="00D14BA0">
      <w:pPr>
        <w:pStyle w:val="Heading3"/>
      </w:pPr>
      <w:r>
        <w:lastRenderedPageBreak/>
        <w:t>Conclusion</w:t>
      </w:r>
    </w:p>
    <w:p w:rsidR="00C56627" w:rsidRDefault="00C56627" w:rsidP="00C56627">
      <w:r>
        <w:t>This contribution provided considerations and recommendations for the main remaining open issues for IAB resource management.</w:t>
      </w:r>
    </w:p>
    <w:p w:rsidR="00C56627" w:rsidRDefault="00C56627" w:rsidP="00C56627">
      <w:r>
        <w:t>The following observations were made:</w:t>
      </w:r>
    </w:p>
    <w:p w:rsidR="00C56627" w:rsidRPr="004F4239" w:rsidRDefault="00C56627" w:rsidP="00C56627">
      <w:pPr>
        <w:rPr>
          <w:rStyle w:val="Strong"/>
          <w:u w:val="single"/>
        </w:rPr>
      </w:pPr>
      <w:r>
        <w:rPr>
          <w:rStyle w:val="Strong"/>
          <w:u w:val="single"/>
        </w:rPr>
        <w:t>Observation 1</w:t>
      </w:r>
      <w:r w:rsidRPr="004F4239">
        <w:rPr>
          <w:rStyle w:val="Strong"/>
          <w:u w:val="single"/>
        </w:rPr>
        <w:t>:</w:t>
      </w:r>
    </w:p>
    <w:p w:rsidR="00C56627" w:rsidRPr="003F2BAD" w:rsidRDefault="00C56627" w:rsidP="00C56627">
      <w:pPr>
        <w:rPr>
          <w:b/>
        </w:rPr>
      </w:pPr>
      <w:r w:rsidRPr="003F2BAD">
        <w:rPr>
          <w:b/>
        </w:rPr>
        <w:t xml:space="preserve">There are possible scenarios in which it is desirable to have the ability to restrict the resources available to a DU in a given link to a child node beyond what the DU could infer from the knowledge of the child node DU configuration. </w:t>
      </w:r>
      <w:r>
        <w:rPr>
          <w:b/>
        </w:rPr>
        <w:t>S</w:t>
      </w:r>
      <w:r w:rsidRPr="003F2BAD">
        <w:rPr>
          <w:b/>
        </w:rPr>
        <w:t xml:space="preserve">uch scenarios can be handled by </w:t>
      </w:r>
      <w:r>
        <w:rPr>
          <w:b/>
        </w:rPr>
        <w:t>making</w:t>
      </w:r>
      <w:r w:rsidRPr="003F2BAD">
        <w:rPr>
          <w:b/>
        </w:rPr>
        <w:t xml:space="preserve"> the NA attribute </w:t>
      </w:r>
      <w:r>
        <w:rPr>
          <w:b/>
        </w:rPr>
        <w:t xml:space="preserve">specific to the link to a </w:t>
      </w:r>
      <w:r w:rsidRPr="003F2BAD">
        <w:rPr>
          <w:b/>
        </w:rPr>
        <w:t>child IAB node.</w:t>
      </w:r>
    </w:p>
    <w:p w:rsidR="00C56627" w:rsidRPr="004F4239" w:rsidRDefault="00C56627" w:rsidP="00C56627">
      <w:pPr>
        <w:rPr>
          <w:rStyle w:val="Strong"/>
          <w:u w:val="single"/>
        </w:rPr>
      </w:pPr>
      <w:r>
        <w:rPr>
          <w:rStyle w:val="Strong"/>
          <w:u w:val="single"/>
        </w:rPr>
        <w:t>Observation 2</w:t>
      </w:r>
      <w:r w:rsidRPr="004F4239">
        <w:rPr>
          <w:rStyle w:val="Strong"/>
          <w:u w:val="single"/>
        </w:rPr>
        <w:t>:</w:t>
      </w:r>
    </w:p>
    <w:p w:rsidR="00C56627" w:rsidRPr="00564685" w:rsidRDefault="00C56627" w:rsidP="00C56627">
      <w:pPr>
        <w:rPr>
          <w:b/>
        </w:rPr>
      </w:pPr>
      <w:r w:rsidRPr="00564685">
        <w:rPr>
          <w:b/>
        </w:rPr>
        <w:t>The length of the overlap and gap regions at the MT to DU and DU to MT resource transition boundaries at an IAB node depends on:</w:t>
      </w:r>
    </w:p>
    <w:p w:rsidR="00C56627" w:rsidRPr="00564685" w:rsidRDefault="00C56627" w:rsidP="00C56627">
      <w:pPr>
        <w:pStyle w:val="ListParagraph"/>
        <w:numPr>
          <w:ilvl w:val="0"/>
          <w:numId w:val="19"/>
        </w:numPr>
        <w:rPr>
          <w:b/>
        </w:rPr>
      </w:pPr>
      <w:r w:rsidRPr="00564685">
        <w:rPr>
          <w:b/>
        </w:rPr>
        <w:t>The propagation delay from the parent node, Tp.</w:t>
      </w:r>
    </w:p>
    <w:p w:rsidR="007458D9" w:rsidRPr="00932265" w:rsidRDefault="00C56627" w:rsidP="00652213">
      <w:pPr>
        <w:pStyle w:val="ListParagraph"/>
        <w:numPr>
          <w:ilvl w:val="0"/>
          <w:numId w:val="19"/>
        </w:numPr>
        <w:rPr>
          <w:b/>
        </w:rPr>
      </w:pPr>
      <w:r w:rsidRPr="00564685">
        <w:rPr>
          <w:b/>
        </w:rPr>
        <w:t>The timing skew between the DL slot boundaries and the UL slot boundaries G</w:t>
      </w:r>
      <w:r w:rsidRPr="00564685">
        <w:rPr>
          <w:b/>
          <w:vertAlign w:val="subscript"/>
        </w:rPr>
        <w:t>Rx2Tx</w:t>
      </w:r>
      <w:r w:rsidRPr="00564685">
        <w:rPr>
          <w:b/>
        </w:rPr>
        <w:t xml:space="preserve"> at the node</w:t>
      </w:r>
      <w:r>
        <w:rPr>
          <w:b/>
        </w:rPr>
        <w:t xml:space="preserve"> and at its parent node</w:t>
      </w:r>
      <w:r w:rsidRPr="00564685">
        <w:rPr>
          <w:b/>
        </w:rPr>
        <w:t>.</w:t>
      </w:r>
    </w:p>
    <w:p w:rsidR="00932265" w:rsidRPr="004F4239" w:rsidRDefault="00932265" w:rsidP="00932265">
      <w:pPr>
        <w:rPr>
          <w:rStyle w:val="Strong"/>
          <w:u w:val="single"/>
        </w:rPr>
      </w:pPr>
      <w:r>
        <w:rPr>
          <w:rStyle w:val="Strong"/>
          <w:u w:val="single"/>
        </w:rPr>
        <w:t>Observation 3</w:t>
      </w:r>
      <w:r w:rsidRPr="004F4239">
        <w:rPr>
          <w:rStyle w:val="Strong"/>
          <w:u w:val="single"/>
        </w:rPr>
        <w:t>:</w:t>
      </w:r>
    </w:p>
    <w:p w:rsidR="00932265" w:rsidRPr="008C5A4C" w:rsidRDefault="00932265" w:rsidP="00932265">
      <w:pPr>
        <w:rPr>
          <w:b/>
        </w:rPr>
      </w:pPr>
      <w:r>
        <w:rPr>
          <w:b/>
        </w:rPr>
        <w:t>In order for the parent node to accurately compute the gaps and overlaps for the various MT to DU Tx/Rx transitions at the child node, minimally the Rx to Tx switch time of the child node needs to be provided. However, the required accuracy for proactive conflict avoidance by the parent node is symbol level, hence it may not be strictly required to compute the overlaps with greater resolution. As a result, using a bound and not requiring signalling of additional information is deemed sufficient for Rel-16, also considering residual conflicts can be dealt by the child node.</w:t>
      </w:r>
    </w:p>
    <w:p w:rsidR="00932265" w:rsidRDefault="00932265" w:rsidP="00652213"/>
    <w:p w:rsidR="00C56627" w:rsidRDefault="00C56627" w:rsidP="00C56627">
      <w:r>
        <w:t>The following proposals were made:</w:t>
      </w:r>
    </w:p>
    <w:p w:rsidR="00C56627" w:rsidRPr="004F4239" w:rsidRDefault="00C56627" w:rsidP="00C56627">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C56627" w:rsidRDefault="00C56627" w:rsidP="00C56627">
      <w:pPr>
        <w:rPr>
          <w:rStyle w:val="Strong"/>
        </w:rPr>
      </w:pPr>
      <w:r>
        <w:rPr>
          <w:rStyle w:val="Strong"/>
        </w:rPr>
        <w:t>The NA attribute of a DU resource is optionally provided for each link to a child IAB node.</w:t>
      </w:r>
    </w:p>
    <w:p w:rsidR="00932265" w:rsidRPr="004F4239" w:rsidRDefault="00932265" w:rsidP="00932265">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932265" w:rsidRDefault="00932265" w:rsidP="00932265">
      <w:pPr>
        <w:rPr>
          <w:rStyle w:val="Strong"/>
        </w:rPr>
      </w:pPr>
      <w:r>
        <w:rPr>
          <w:rStyle w:val="Strong"/>
        </w:rPr>
        <w:t>The explicit indication of DU resource availability is provided with slot granularity with the DCI Format 2_0 framework, extended accordingly to accommodate this IAB specific requirement.</w:t>
      </w:r>
    </w:p>
    <w:p w:rsidR="00932265" w:rsidRPr="004F4239" w:rsidRDefault="00932265" w:rsidP="00932265">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932265" w:rsidRDefault="00932265" w:rsidP="00932265">
      <w:pPr>
        <w:rPr>
          <w:rStyle w:val="Strong"/>
        </w:rPr>
      </w:pPr>
      <w:r>
        <w:rPr>
          <w:rStyle w:val="Strong"/>
        </w:rPr>
        <w:t>The H/S/NA attribute for DU resources has the ability to be configured solely with slot level granularity.</w:t>
      </w:r>
    </w:p>
    <w:p w:rsidR="00932265" w:rsidRDefault="00932265" w:rsidP="00932265">
      <w:pPr>
        <w:rPr>
          <w:rStyle w:val="Strong"/>
        </w:rPr>
      </w:pPr>
      <w:r>
        <w:rPr>
          <w:rStyle w:val="Strong"/>
        </w:rPr>
        <w:t xml:space="preserve">The H/S/NA attribute for DU resources has the ability to be configured optionally in one of the following ways, to be </w:t>
      </w:r>
      <w:proofErr w:type="spellStart"/>
      <w:r>
        <w:rPr>
          <w:rStyle w:val="Strong"/>
        </w:rPr>
        <w:t>downselected</w:t>
      </w:r>
      <w:proofErr w:type="spellEnd"/>
      <w:r>
        <w:rPr>
          <w:rStyle w:val="Strong"/>
        </w:rPr>
        <w:t>:</w:t>
      </w:r>
    </w:p>
    <w:p w:rsidR="00932265" w:rsidRPr="009D03B1" w:rsidRDefault="00932265" w:rsidP="00932265">
      <w:pPr>
        <w:pStyle w:val="ListParagraph"/>
        <w:numPr>
          <w:ilvl w:val="0"/>
          <w:numId w:val="18"/>
        </w:numPr>
      </w:pPr>
      <w:r>
        <w:rPr>
          <w:b/>
        </w:rPr>
        <w:t>Alt 1: with symbol level granularity</w:t>
      </w:r>
      <w:r>
        <w:rPr>
          <w:b/>
        </w:rPr>
        <w:t>.</w:t>
      </w:r>
    </w:p>
    <w:p w:rsidR="00C56627" w:rsidRPr="00932265" w:rsidRDefault="00932265" w:rsidP="00652213">
      <w:pPr>
        <w:pStyle w:val="ListParagraph"/>
        <w:numPr>
          <w:ilvl w:val="0"/>
          <w:numId w:val="18"/>
        </w:numPr>
      </w:pPr>
      <w:r>
        <w:rPr>
          <w:b/>
        </w:rPr>
        <w:t>Alt 2: with segment level (consecutive D or U or F symbols within a slot) granularity</w:t>
      </w:r>
      <w:r>
        <w:rPr>
          <w:b/>
        </w:rPr>
        <w:t>.</w:t>
      </w:r>
    </w:p>
    <w:p w:rsidR="00932265" w:rsidRDefault="00932265" w:rsidP="00932265"/>
    <w:p w:rsidR="00D14BA0" w:rsidRDefault="00D14BA0" w:rsidP="00D14BA0">
      <w:pPr>
        <w:pStyle w:val="Heading3"/>
      </w:pPr>
      <w:r>
        <w:t>References</w:t>
      </w:r>
    </w:p>
    <w:p w:rsidR="00D14BA0" w:rsidRDefault="009428AF" w:rsidP="00652213">
      <w:r>
        <w:t>[1]</w:t>
      </w:r>
      <w:r>
        <w:tab/>
      </w:r>
      <w:r>
        <w:tab/>
        <w:t xml:space="preserve">R1-1909909 – </w:t>
      </w:r>
      <w:r w:rsidRPr="0070519E">
        <w:t>RAN1 agreements for Rel-16 IAB</w:t>
      </w:r>
      <w:r>
        <w:t xml:space="preserve"> – WI Rapporteur (Qualcomm)</w:t>
      </w:r>
    </w:p>
    <w:p w:rsidR="00BA7C88" w:rsidRDefault="00BA7C88" w:rsidP="009E1DB0"/>
    <w:p w:rsidR="00BD62C8" w:rsidRPr="009B5DA9" w:rsidRDefault="00BD62C8" w:rsidP="009E1DB0"/>
    <w:sectPr w:rsidR="00BD62C8" w:rsidRPr="009B5DA9">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A74" w:rsidRDefault="00C67A74">
      <w:pPr>
        <w:spacing w:after="0"/>
      </w:pPr>
      <w:r>
        <w:separator/>
      </w:r>
    </w:p>
  </w:endnote>
  <w:endnote w:type="continuationSeparator" w:id="0">
    <w:p w:rsidR="00C67A74" w:rsidRDefault="00C67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A74" w:rsidRDefault="00C67A74">
      <w:pPr>
        <w:spacing w:after="0"/>
      </w:pPr>
      <w:r>
        <w:separator/>
      </w:r>
    </w:p>
  </w:footnote>
  <w:footnote w:type="continuationSeparator" w:id="0">
    <w:p w:rsidR="00C67A74" w:rsidRDefault="00C67A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768" w:rsidRDefault="00A95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90E9A"/>
    <w:multiLevelType w:val="hybridMultilevel"/>
    <w:tmpl w:val="9E30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1524A"/>
    <w:multiLevelType w:val="hybridMultilevel"/>
    <w:tmpl w:val="0DCC9012"/>
    <w:lvl w:ilvl="0" w:tplc="F55453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52D3B"/>
    <w:multiLevelType w:val="hybridMultilevel"/>
    <w:tmpl w:val="7D2A2E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00085"/>
    <w:multiLevelType w:val="hybridMultilevel"/>
    <w:tmpl w:val="1F5677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54F2D"/>
    <w:multiLevelType w:val="hybridMultilevel"/>
    <w:tmpl w:val="5EBCC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36B41"/>
    <w:multiLevelType w:val="hybridMultilevel"/>
    <w:tmpl w:val="5EBCC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AB2E18"/>
    <w:multiLevelType w:val="hybridMultilevel"/>
    <w:tmpl w:val="7D2A2E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DB25B1D"/>
    <w:multiLevelType w:val="hybridMultilevel"/>
    <w:tmpl w:val="7D2A2E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A566C1D"/>
    <w:multiLevelType w:val="hybridMultilevel"/>
    <w:tmpl w:val="AF7EF0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6"/>
  </w:num>
  <w:num w:numId="4">
    <w:abstractNumId w:val="18"/>
  </w:num>
  <w:num w:numId="5">
    <w:abstractNumId w:val="14"/>
  </w:num>
  <w:num w:numId="6">
    <w:abstractNumId w:val="7"/>
  </w:num>
  <w:num w:numId="7">
    <w:abstractNumId w:val="16"/>
  </w:num>
  <w:num w:numId="8">
    <w:abstractNumId w:val="0"/>
  </w:num>
  <w:num w:numId="9">
    <w:abstractNumId w:val="13"/>
  </w:num>
  <w:num w:numId="10">
    <w:abstractNumId w:val="1"/>
  </w:num>
  <w:num w:numId="11">
    <w:abstractNumId w:val="9"/>
  </w:num>
  <w:num w:numId="12">
    <w:abstractNumId w:val="8"/>
  </w:num>
  <w:num w:numId="13">
    <w:abstractNumId w:val="11"/>
  </w:num>
  <w:num w:numId="14">
    <w:abstractNumId w:val="5"/>
  </w:num>
  <w:num w:numId="15">
    <w:abstractNumId w:val="12"/>
  </w:num>
  <w:num w:numId="16">
    <w:abstractNumId w:val="2"/>
  </w:num>
  <w:num w:numId="17">
    <w:abstractNumId w:val="10"/>
  </w:num>
  <w:num w:numId="18">
    <w:abstractNumId w:val="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668FC"/>
    <w:rsid w:val="000952DC"/>
    <w:rsid w:val="000B4365"/>
    <w:rsid w:val="000C1B14"/>
    <w:rsid w:val="000D1557"/>
    <w:rsid w:val="000D3889"/>
    <w:rsid w:val="00114445"/>
    <w:rsid w:val="0012597C"/>
    <w:rsid w:val="00131C46"/>
    <w:rsid w:val="0014203B"/>
    <w:rsid w:val="001479C1"/>
    <w:rsid w:val="001927BB"/>
    <w:rsid w:val="001A4207"/>
    <w:rsid w:val="001A68C4"/>
    <w:rsid w:val="001C43F8"/>
    <w:rsid w:val="001E0CA5"/>
    <w:rsid w:val="001E3173"/>
    <w:rsid w:val="00201C93"/>
    <w:rsid w:val="002208A7"/>
    <w:rsid w:val="00221B24"/>
    <w:rsid w:val="002349E6"/>
    <w:rsid w:val="002423F1"/>
    <w:rsid w:val="0026432B"/>
    <w:rsid w:val="00271EAD"/>
    <w:rsid w:val="00277746"/>
    <w:rsid w:val="0028666A"/>
    <w:rsid w:val="00292489"/>
    <w:rsid w:val="002A6001"/>
    <w:rsid w:val="002A6F13"/>
    <w:rsid w:val="002B4616"/>
    <w:rsid w:val="002C59CE"/>
    <w:rsid w:val="002C70B3"/>
    <w:rsid w:val="002E7E1E"/>
    <w:rsid w:val="002F456C"/>
    <w:rsid w:val="00320A5A"/>
    <w:rsid w:val="0033560C"/>
    <w:rsid w:val="00351C6C"/>
    <w:rsid w:val="00394956"/>
    <w:rsid w:val="003F7BA1"/>
    <w:rsid w:val="00402E59"/>
    <w:rsid w:val="0041035F"/>
    <w:rsid w:val="00421A10"/>
    <w:rsid w:val="00422CFF"/>
    <w:rsid w:val="0043366F"/>
    <w:rsid w:val="00441789"/>
    <w:rsid w:val="004576B5"/>
    <w:rsid w:val="004657FF"/>
    <w:rsid w:val="00470349"/>
    <w:rsid w:val="00471F9A"/>
    <w:rsid w:val="004750C4"/>
    <w:rsid w:val="004A5217"/>
    <w:rsid w:val="004B5725"/>
    <w:rsid w:val="004B744A"/>
    <w:rsid w:val="004D1EBF"/>
    <w:rsid w:val="004F4239"/>
    <w:rsid w:val="00500536"/>
    <w:rsid w:val="005242BA"/>
    <w:rsid w:val="00532A09"/>
    <w:rsid w:val="005603E9"/>
    <w:rsid w:val="005A3546"/>
    <w:rsid w:val="005B2FBA"/>
    <w:rsid w:val="005C3A3C"/>
    <w:rsid w:val="005C56FA"/>
    <w:rsid w:val="005C7A37"/>
    <w:rsid w:val="005D6344"/>
    <w:rsid w:val="005E03C6"/>
    <w:rsid w:val="005F0157"/>
    <w:rsid w:val="006265D9"/>
    <w:rsid w:val="00626721"/>
    <w:rsid w:val="00641DAB"/>
    <w:rsid w:val="00652213"/>
    <w:rsid w:val="006565BC"/>
    <w:rsid w:val="006A7B67"/>
    <w:rsid w:val="006B22CD"/>
    <w:rsid w:val="006C493A"/>
    <w:rsid w:val="006D34A0"/>
    <w:rsid w:val="006D74A4"/>
    <w:rsid w:val="006E75A7"/>
    <w:rsid w:val="006F5938"/>
    <w:rsid w:val="007144BE"/>
    <w:rsid w:val="00716DF0"/>
    <w:rsid w:val="007458D9"/>
    <w:rsid w:val="007628AF"/>
    <w:rsid w:val="0076589E"/>
    <w:rsid w:val="007874EB"/>
    <w:rsid w:val="007C15F9"/>
    <w:rsid w:val="007C18D4"/>
    <w:rsid w:val="007D2506"/>
    <w:rsid w:val="007F4799"/>
    <w:rsid w:val="00806EAC"/>
    <w:rsid w:val="00821BB4"/>
    <w:rsid w:val="008247BB"/>
    <w:rsid w:val="00832C04"/>
    <w:rsid w:val="00897207"/>
    <w:rsid w:val="008A59E9"/>
    <w:rsid w:val="008C5A4C"/>
    <w:rsid w:val="008C681A"/>
    <w:rsid w:val="008D777A"/>
    <w:rsid w:val="008F0182"/>
    <w:rsid w:val="008F2768"/>
    <w:rsid w:val="0090068A"/>
    <w:rsid w:val="00932265"/>
    <w:rsid w:val="00942324"/>
    <w:rsid w:val="009428AF"/>
    <w:rsid w:val="00971EDC"/>
    <w:rsid w:val="009739A5"/>
    <w:rsid w:val="00977181"/>
    <w:rsid w:val="009A76B8"/>
    <w:rsid w:val="009B5DA9"/>
    <w:rsid w:val="009D03B1"/>
    <w:rsid w:val="009D5D51"/>
    <w:rsid w:val="009E1DB0"/>
    <w:rsid w:val="009F56C2"/>
    <w:rsid w:val="009F7B75"/>
    <w:rsid w:val="00A11C09"/>
    <w:rsid w:val="00A13800"/>
    <w:rsid w:val="00A20A0E"/>
    <w:rsid w:val="00A245F7"/>
    <w:rsid w:val="00A8145A"/>
    <w:rsid w:val="00A95747"/>
    <w:rsid w:val="00AA1ADD"/>
    <w:rsid w:val="00AA42A1"/>
    <w:rsid w:val="00AB0305"/>
    <w:rsid w:val="00AB3C6B"/>
    <w:rsid w:val="00AC6FF0"/>
    <w:rsid w:val="00AD379B"/>
    <w:rsid w:val="00AE1D96"/>
    <w:rsid w:val="00AE3B41"/>
    <w:rsid w:val="00AE7A5D"/>
    <w:rsid w:val="00AE7BAA"/>
    <w:rsid w:val="00AF0340"/>
    <w:rsid w:val="00B03A61"/>
    <w:rsid w:val="00B0758A"/>
    <w:rsid w:val="00B107DA"/>
    <w:rsid w:val="00B171E8"/>
    <w:rsid w:val="00B448AE"/>
    <w:rsid w:val="00B45B0E"/>
    <w:rsid w:val="00BA3075"/>
    <w:rsid w:val="00BA7C88"/>
    <w:rsid w:val="00BD62C8"/>
    <w:rsid w:val="00BE39D0"/>
    <w:rsid w:val="00BF1D96"/>
    <w:rsid w:val="00C00051"/>
    <w:rsid w:val="00C03071"/>
    <w:rsid w:val="00C229D6"/>
    <w:rsid w:val="00C30110"/>
    <w:rsid w:val="00C3686F"/>
    <w:rsid w:val="00C420DC"/>
    <w:rsid w:val="00C56627"/>
    <w:rsid w:val="00C671F1"/>
    <w:rsid w:val="00C67A74"/>
    <w:rsid w:val="00C95326"/>
    <w:rsid w:val="00C96332"/>
    <w:rsid w:val="00CB0267"/>
    <w:rsid w:val="00CD131B"/>
    <w:rsid w:val="00CE0EAD"/>
    <w:rsid w:val="00D03B11"/>
    <w:rsid w:val="00D14BA0"/>
    <w:rsid w:val="00D37BAC"/>
    <w:rsid w:val="00D73285"/>
    <w:rsid w:val="00D914FE"/>
    <w:rsid w:val="00D95372"/>
    <w:rsid w:val="00D95D57"/>
    <w:rsid w:val="00DA6F21"/>
    <w:rsid w:val="00DC7700"/>
    <w:rsid w:val="00DD385A"/>
    <w:rsid w:val="00DE388A"/>
    <w:rsid w:val="00E07575"/>
    <w:rsid w:val="00E3795C"/>
    <w:rsid w:val="00E6531E"/>
    <w:rsid w:val="00E676C3"/>
    <w:rsid w:val="00E757D7"/>
    <w:rsid w:val="00E8137B"/>
    <w:rsid w:val="00E83260"/>
    <w:rsid w:val="00EA185B"/>
    <w:rsid w:val="00EC2508"/>
    <w:rsid w:val="00ED2B30"/>
    <w:rsid w:val="00F001F4"/>
    <w:rsid w:val="00F01613"/>
    <w:rsid w:val="00F250E7"/>
    <w:rsid w:val="00F33CF5"/>
    <w:rsid w:val="00F475E2"/>
    <w:rsid w:val="00F7003D"/>
    <w:rsid w:val="00F747AD"/>
    <w:rsid w:val="00F929D4"/>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8FB40"/>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28A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9428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428AF"/>
    <w:pPr>
      <w:pBdr>
        <w:top w:val="none" w:sz="0" w:space="0" w:color="auto"/>
      </w:pBdr>
      <w:spacing w:before="180"/>
      <w:outlineLvl w:val="1"/>
    </w:pPr>
    <w:rPr>
      <w:sz w:val="32"/>
    </w:rPr>
  </w:style>
  <w:style w:type="paragraph" w:styleId="Heading3">
    <w:name w:val="heading 3"/>
    <w:basedOn w:val="Heading2"/>
    <w:next w:val="Normal"/>
    <w:qFormat/>
    <w:rsid w:val="009428AF"/>
    <w:pPr>
      <w:spacing w:before="120"/>
      <w:outlineLvl w:val="2"/>
    </w:pPr>
    <w:rPr>
      <w:sz w:val="28"/>
    </w:rPr>
  </w:style>
  <w:style w:type="paragraph" w:styleId="Heading4">
    <w:name w:val="heading 4"/>
    <w:basedOn w:val="Heading3"/>
    <w:next w:val="Normal"/>
    <w:qFormat/>
    <w:rsid w:val="009428AF"/>
    <w:pPr>
      <w:ind w:left="1418" w:hanging="1418"/>
      <w:outlineLvl w:val="3"/>
    </w:pPr>
    <w:rPr>
      <w:sz w:val="24"/>
    </w:rPr>
  </w:style>
  <w:style w:type="paragraph" w:styleId="Heading5">
    <w:name w:val="heading 5"/>
    <w:basedOn w:val="Heading4"/>
    <w:next w:val="Normal"/>
    <w:qFormat/>
    <w:rsid w:val="009428AF"/>
    <w:pPr>
      <w:ind w:left="1701" w:hanging="1701"/>
      <w:outlineLvl w:val="4"/>
    </w:pPr>
    <w:rPr>
      <w:sz w:val="22"/>
    </w:rPr>
  </w:style>
  <w:style w:type="paragraph" w:styleId="Heading6">
    <w:name w:val="heading 6"/>
    <w:basedOn w:val="H6"/>
    <w:next w:val="Normal"/>
    <w:qFormat/>
    <w:rsid w:val="009428AF"/>
    <w:pPr>
      <w:outlineLvl w:val="5"/>
    </w:pPr>
  </w:style>
  <w:style w:type="paragraph" w:styleId="Heading7">
    <w:name w:val="heading 7"/>
    <w:basedOn w:val="H6"/>
    <w:next w:val="Normal"/>
    <w:qFormat/>
    <w:rsid w:val="009428AF"/>
    <w:pPr>
      <w:outlineLvl w:val="6"/>
    </w:pPr>
  </w:style>
  <w:style w:type="paragraph" w:styleId="Heading8">
    <w:name w:val="heading 8"/>
    <w:basedOn w:val="Heading1"/>
    <w:next w:val="Normal"/>
    <w:qFormat/>
    <w:rsid w:val="009428AF"/>
    <w:pPr>
      <w:ind w:left="0" w:firstLine="0"/>
      <w:outlineLvl w:val="7"/>
    </w:pPr>
  </w:style>
  <w:style w:type="paragraph" w:styleId="Heading9">
    <w:name w:val="heading 9"/>
    <w:basedOn w:val="Heading8"/>
    <w:next w:val="Normal"/>
    <w:qFormat/>
    <w:rsid w:val="009428AF"/>
    <w:pPr>
      <w:outlineLvl w:val="8"/>
    </w:pPr>
  </w:style>
  <w:style w:type="character" w:default="1" w:styleId="DefaultParagraphFont">
    <w:name w:val="Default Paragraph Font"/>
    <w:semiHidden/>
    <w:rsid w:val="009428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8AF"/>
  </w:style>
  <w:style w:type="paragraph" w:styleId="TOC8">
    <w:name w:val="toc 8"/>
    <w:basedOn w:val="TOC1"/>
    <w:semiHidden/>
    <w:rsid w:val="009428AF"/>
    <w:pPr>
      <w:spacing w:before="180"/>
      <w:ind w:left="2693" w:hanging="2693"/>
    </w:pPr>
    <w:rPr>
      <w:b/>
    </w:rPr>
  </w:style>
  <w:style w:type="paragraph" w:styleId="TOC1">
    <w:name w:val="toc 1"/>
    <w:semiHidden/>
    <w:rsid w:val="009428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428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428AF"/>
    <w:pPr>
      <w:ind w:left="1701" w:hanging="1701"/>
    </w:pPr>
  </w:style>
  <w:style w:type="paragraph" w:styleId="TOC4">
    <w:name w:val="toc 4"/>
    <w:basedOn w:val="TOC3"/>
    <w:semiHidden/>
    <w:rsid w:val="009428AF"/>
    <w:pPr>
      <w:ind w:left="1418" w:hanging="1418"/>
    </w:pPr>
  </w:style>
  <w:style w:type="paragraph" w:styleId="TOC3">
    <w:name w:val="toc 3"/>
    <w:basedOn w:val="TOC2"/>
    <w:semiHidden/>
    <w:rsid w:val="009428AF"/>
    <w:pPr>
      <w:ind w:left="1134" w:hanging="1134"/>
    </w:pPr>
  </w:style>
  <w:style w:type="paragraph" w:styleId="TOC2">
    <w:name w:val="toc 2"/>
    <w:basedOn w:val="TOC1"/>
    <w:semiHidden/>
    <w:rsid w:val="009428AF"/>
    <w:pPr>
      <w:keepNext w:val="0"/>
      <w:spacing w:before="0"/>
      <w:ind w:left="851" w:hanging="851"/>
    </w:pPr>
    <w:rPr>
      <w:sz w:val="20"/>
    </w:rPr>
  </w:style>
  <w:style w:type="paragraph" w:styleId="Index2">
    <w:name w:val="index 2"/>
    <w:basedOn w:val="Index1"/>
    <w:semiHidden/>
    <w:rsid w:val="009428AF"/>
    <w:pPr>
      <w:ind w:left="284"/>
    </w:pPr>
  </w:style>
  <w:style w:type="paragraph" w:styleId="Index1">
    <w:name w:val="index 1"/>
    <w:basedOn w:val="Normal"/>
    <w:semiHidden/>
    <w:rsid w:val="009428AF"/>
    <w:pPr>
      <w:keepLines/>
      <w:spacing w:after="0"/>
    </w:pPr>
  </w:style>
  <w:style w:type="paragraph" w:customStyle="1" w:styleId="ZH">
    <w:name w:val="ZH"/>
    <w:rsid w:val="009428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428AF"/>
    <w:pPr>
      <w:outlineLvl w:val="9"/>
    </w:pPr>
  </w:style>
  <w:style w:type="paragraph" w:styleId="ListNumber2">
    <w:name w:val="List Number 2"/>
    <w:basedOn w:val="ListNumber"/>
    <w:semiHidden/>
    <w:rsid w:val="009428AF"/>
    <w:pPr>
      <w:ind w:left="851"/>
    </w:pPr>
  </w:style>
  <w:style w:type="paragraph" w:styleId="Header">
    <w:name w:val="header"/>
    <w:semiHidden/>
    <w:rsid w:val="009428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428AF"/>
    <w:rPr>
      <w:b/>
      <w:position w:val="6"/>
      <w:sz w:val="16"/>
    </w:rPr>
  </w:style>
  <w:style w:type="paragraph" w:styleId="FootnoteText">
    <w:name w:val="footnote text"/>
    <w:basedOn w:val="Normal"/>
    <w:semiHidden/>
    <w:rsid w:val="009428AF"/>
    <w:pPr>
      <w:keepLines/>
      <w:spacing w:after="0"/>
      <w:ind w:left="454" w:hanging="454"/>
    </w:pPr>
    <w:rPr>
      <w:sz w:val="16"/>
    </w:rPr>
  </w:style>
  <w:style w:type="paragraph" w:customStyle="1" w:styleId="TAH">
    <w:name w:val="TAH"/>
    <w:basedOn w:val="TAC"/>
    <w:rsid w:val="009428AF"/>
    <w:rPr>
      <w:b/>
    </w:rPr>
  </w:style>
  <w:style w:type="paragraph" w:customStyle="1" w:styleId="TAC">
    <w:name w:val="TAC"/>
    <w:basedOn w:val="TAL"/>
    <w:rsid w:val="009428AF"/>
    <w:pPr>
      <w:jc w:val="center"/>
    </w:pPr>
  </w:style>
  <w:style w:type="paragraph" w:customStyle="1" w:styleId="TF">
    <w:name w:val="TF"/>
    <w:basedOn w:val="TH"/>
    <w:rsid w:val="009428AF"/>
    <w:pPr>
      <w:keepNext w:val="0"/>
      <w:spacing w:before="0" w:after="240"/>
    </w:pPr>
  </w:style>
  <w:style w:type="paragraph" w:customStyle="1" w:styleId="NO">
    <w:name w:val="NO"/>
    <w:basedOn w:val="Normal"/>
    <w:rsid w:val="009428AF"/>
    <w:pPr>
      <w:keepLines/>
      <w:ind w:left="1135" w:hanging="851"/>
    </w:pPr>
  </w:style>
  <w:style w:type="paragraph" w:styleId="TOC9">
    <w:name w:val="toc 9"/>
    <w:basedOn w:val="TOC8"/>
    <w:semiHidden/>
    <w:rsid w:val="009428AF"/>
    <w:pPr>
      <w:ind w:left="1418" w:hanging="1418"/>
    </w:pPr>
  </w:style>
  <w:style w:type="paragraph" w:customStyle="1" w:styleId="EX">
    <w:name w:val="EX"/>
    <w:basedOn w:val="Normal"/>
    <w:rsid w:val="009428AF"/>
    <w:pPr>
      <w:keepLines/>
      <w:ind w:left="1702" w:hanging="1418"/>
    </w:pPr>
  </w:style>
  <w:style w:type="paragraph" w:customStyle="1" w:styleId="FP">
    <w:name w:val="FP"/>
    <w:basedOn w:val="Normal"/>
    <w:rsid w:val="009428AF"/>
    <w:pPr>
      <w:spacing w:after="0"/>
    </w:pPr>
  </w:style>
  <w:style w:type="paragraph" w:customStyle="1" w:styleId="LD">
    <w:name w:val="LD"/>
    <w:rsid w:val="009428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428AF"/>
    <w:pPr>
      <w:spacing w:after="0"/>
    </w:pPr>
  </w:style>
  <w:style w:type="paragraph" w:customStyle="1" w:styleId="EW">
    <w:name w:val="EW"/>
    <w:basedOn w:val="EX"/>
    <w:rsid w:val="009428AF"/>
    <w:pPr>
      <w:spacing w:after="0"/>
    </w:pPr>
  </w:style>
  <w:style w:type="paragraph" w:styleId="TOC6">
    <w:name w:val="toc 6"/>
    <w:basedOn w:val="TOC5"/>
    <w:next w:val="Normal"/>
    <w:semiHidden/>
    <w:rsid w:val="009428AF"/>
    <w:pPr>
      <w:ind w:left="1985" w:hanging="1985"/>
    </w:pPr>
  </w:style>
  <w:style w:type="paragraph" w:styleId="TOC7">
    <w:name w:val="toc 7"/>
    <w:basedOn w:val="TOC6"/>
    <w:next w:val="Normal"/>
    <w:semiHidden/>
    <w:rsid w:val="009428AF"/>
    <w:pPr>
      <w:ind w:left="2268" w:hanging="2268"/>
    </w:pPr>
  </w:style>
  <w:style w:type="paragraph" w:styleId="ListBullet2">
    <w:name w:val="List Bullet 2"/>
    <w:basedOn w:val="ListBullet"/>
    <w:semiHidden/>
    <w:rsid w:val="009428AF"/>
    <w:pPr>
      <w:ind w:left="851"/>
    </w:pPr>
  </w:style>
  <w:style w:type="paragraph" w:styleId="ListBullet3">
    <w:name w:val="List Bullet 3"/>
    <w:basedOn w:val="ListBullet2"/>
    <w:semiHidden/>
    <w:rsid w:val="009428AF"/>
    <w:pPr>
      <w:ind w:left="1135"/>
    </w:pPr>
  </w:style>
  <w:style w:type="paragraph" w:styleId="ListNumber">
    <w:name w:val="List Number"/>
    <w:basedOn w:val="List"/>
    <w:semiHidden/>
    <w:rsid w:val="009428AF"/>
  </w:style>
  <w:style w:type="paragraph" w:customStyle="1" w:styleId="EQ">
    <w:name w:val="EQ"/>
    <w:basedOn w:val="Normal"/>
    <w:next w:val="Normal"/>
    <w:rsid w:val="009428AF"/>
    <w:pPr>
      <w:keepLines/>
      <w:tabs>
        <w:tab w:val="center" w:pos="4536"/>
        <w:tab w:val="right" w:pos="9072"/>
      </w:tabs>
    </w:pPr>
    <w:rPr>
      <w:noProof/>
    </w:rPr>
  </w:style>
  <w:style w:type="paragraph" w:customStyle="1" w:styleId="TH">
    <w:name w:val="TH"/>
    <w:basedOn w:val="Normal"/>
    <w:rsid w:val="009428AF"/>
    <w:pPr>
      <w:keepNext/>
      <w:keepLines/>
      <w:spacing w:before="60"/>
      <w:jc w:val="center"/>
    </w:pPr>
    <w:rPr>
      <w:rFonts w:ascii="Arial" w:hAnsi="Arial"/>
      <w:b/>
    </w:rPr>
  </w:style>
  <w:style w:type="paragraph" w:customStyle="1" w:styleId="NF">
    <w:name w:val="NF"/>
    <w:basedOn w:val="NO"/>
    <w:rsid w:val="009428AF"/>
    <w:pPr>
      <w:keepNext/>
      <w:spacing w:after="0"/>
    </w:pPr>
    <w:rPr>
      <w:rFonts w:ascii="Arial" w:hAnsi="Arial"/>
      <w:sz w:val="18"/>
    </w:rPr>
  </w:style>
  <w:style w:type="paragraph" w:customStyle="1" w:styleId="PL">
    <w:name w:val="PL"/>
    <w:rsid w:val="009428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28AF"/>
    <w:pPr>
      <w:jc w:val="right"/>
    </w:pPr>
  </w:style>
  <w:style w:type="paragraph" w:customStyle="1" w:styleId="H6">
    <w:name w:val="H6"/>
    <w:basedOn w:val="Heading5"/>
    <w:next w:val="Normal"/>
    <w:rsid w:val="009428AF"/>
    <w:pPr>
      <w:ind w:left="1985" w:hanging="1985"/>
      <w:outlineLvl w:val="9"/>
    </w:pPr>
    <w:rPr>
      <w:sz w:val="20"/>
    </w:rPr>
  </w:style>
  <w:style w:type="paragraph" w:customStyle="1" w:styleId="TAN">
    <w:name w:val="TAN"/>
    <w:basedOn w:val="TAL"/>
    <w:rsid w:val="009428AF"/>
    <w:pPr>
      <w:ind w:left="851" w:hanging="851"/>
    </w:pPr>
  </w:style>
  <w:style w:type="paragraph" w:customStyle="1" w:styleId="TAL">
    <w:name w:val="TAL"/>
    <w:basedOn w:val="Normal"/>
    <w:rsid w:val="009428AF"/>
    <w:pPr>
      <w:keepNext/>
      <w:keepLines/>
      <w:spacing w:after="0"/>
    </w:pPr>
    <w:rPr>
      <w:rFonts w:ascii="Arial" w:hAnsi="Arial"/>
      <w:sz w:val="18"/>
    </w:rPr>
  </w:style>
  <w:style w:type="paragraph" w:customStyle="1" w:styleId="ZA">
    <w:name w:val="ZA"/>
    <w:rsid w:val="009428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28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428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428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428AF"/>
    <w:pPr>
      <w:framePr w:wrap="notBeside" w:y="16161"/>
    </w:pPr>
  </w:style>
  <w:style w:type="character" w:customStyle="1" w:styleId="ZGSM">
    <w:name w:val="ZGSM"/>
    <w:rsid w:val="009428AF"/>
  </w:style>
  <w:style w:type="paragraph" w:styleId="List2">
    <w:name w:val="List 2"/>
    <w:basedOn w:val="List"/>
    <w:semiHidden/>
    <w:rsid w:val="009428AF"/>
    <w:pPr>
      <w:ind w:left="851"/>
    </w:pPr>
  </w:style>
  <w:style w:type="paragraph" w:customStyle="1" w:styleId="ZG">
    <w:name w:val="ZG"/>
    <w:rsid w:val="009428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428AF"/>
    <w:pPr>
      <w:ind w:left="1135"/>
    </w:pPr>
  </w:style>
  <w:style w:type="paragraph" w:styleId="List4">
    <w:name w:val="List 4"/>
    <w:basedOn w:val="List3"/>
    <w:semiHidden/>
    <w:rsid w:val="009428AF"/>
    <w:pPr>
      <w:ind w:left="1418"/>
    </w:pPr>
  </w:style>
  <w:style w:type="paragraph" w:styleId="List5">
    <w:name w:val="List 5"/>
    <w:basedOn w:val="List4"/>
    <w:semiHidden/>
    <w:rsid w:val="009428AF"/>
    <w:pPr>
      <w:ind w:left="1702"/>
    </w:pPr>
  </w:style>
  <w:style w:type="paragraph" w:customStyle="1" w:styleId="EditorsNote">
    <w:name w:val="Editor's Note"/>
    <w:basedOn w:val="NO"/>
    <w:rsid w:val="009428AF"/>
    <w:rPr>
      <w:color w:val="FF0000"/>
    </w:rPr>
  </w:style>
  <w:style w:type="paragraph" w:styleId="List">
    <w:name w:val="List"/>
    <w:basedOn w:val="Normal"/>
    <w:semiHidden/>
    <w:rsid w:val="009428AF"/>
    <w:pPr>
      <w:ind w:left="568" w:hanging="284"/>
    </w:pPr>
  </w:style>
  <w:style w:type="paragraph" w:styleId="ListBullet">
    <w:name w:val="List Bullet"/>
    <w:basedOn w:val="List"/>
    <w:semiHidden/>
    <w:rsid w:val="009428AF"/>
  </w:style>
  <w:style w:type="paragraph" w:styleId="ListBullet4">
    <w:name w:val="List Bullet 4"/>
    <w:basedOn w:val="ListBullet3"/>
    <w:semiHidden/>
    <w:rsid w:val="009428AF"/>
    <w:pPr>
      <w:ind w:left="1418"/>
    </w:pPr>
  </w:style>
  <w:style w:type="paragraph" w:styleId="ListBullet5">
    <w:name w:val="List Bullet 5"/>
    <w:basedOn w:val="ListBullet4"/>
    <w:semiHidden/>
    <w:rsid w:val="009428AF"/>
    <w:pPr>
      <w:ind w:left="1702"/>
    </w:pPr>
  </w:style>
  <w:style w:type="paragraph" w:customStyle="1" w:styleId="B1">
    <w:name w:val="B1"/>
    <w:basedOn w:val="List"/>
    <w:rsid w:val="009428AF"/>
  </w:style>
  <w:style w:type="paragraph" w:customStyle="1" w:styleId="B2">
    <w:name w:val="B2"/>
    <w:basedOn w:val="List2"/>
    <w:rsid w:val="009428AF"/>
  </w:style>
  <w:style w:type="paragraph" w:customStyle="1" w:styleId="B3">
    <w:name w:val="B3"/>
    <w:basedOn w:val="List3"/>
    <w:rsid w:val="009428AF"/>
  </w:style>
  <w:style w:type="paragraph" w:customStyle="1" w:styleId="B4">
    <w:name w:val="B4"/>
    <w:basedOn w:val="List4"/>
    <w:rsid w:val="009428AF"/>
  </w:style>
  <w:style w:type="paragraph" w:customStyle="1" w:styleId="B5">
    <w:name w:val="B5"/>
    <w:basedOn w:val="List5"/>
    <w:rsid w:val="009428AF"/>
  </w:style>
  <w:style w:type="paragraph" w:styleId="Footer">
    <w:name w:val="footer"/>
    <w:basedOn w:val="Header"/>
    <w:semiHidden/>
    <w:rsid w:val="009428AF"/>
    <w:pPr>
      <w:jc w:val="center"/>
    </w:pPr>
    <w:rPr>
      <w:i/>
    </w:rPr>
  </w:style>
  <w:style w:type="paragraph" w:customStyle="1" w:styleId="ZTD">
    <w:name w:val="ZTD"/>
    <w:basedOn w:val="ZB"/>
    <w:rsid w:val="009428AF"/>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paragraph" w:styleId="Caption">
    <w:name w:val="caption"/>
    <w:basedOn w:val="Normal"/>
    <w:next w:val="Normal"/>
    <w:uiPriority w:val="35"/>
    <w:unhideWhenUsed/>
    <w:qFormat/>
    <w:rsid w:val="002C59CE"/>
    <w:pPr>
      <w:spacing w:after="200"/>
    </w:pPr>
    <w:rPr>
      <w:i/>
      <w:iCs/>
      <w:color w:val="44546A" w:themeColor="text2"/>
      <w:sz w:val="18"/>
      <w:szCs w:val="18"/>
    </w:rPr>
  </w:style>
  <w:style w:type="table" w:styleId="TableGrid">
    <w:name w:val="Table Grid"/>
    <w:basedOn w:val="TableNormal"/>
    <w:uiPriority w:val="39"/>
    <w:rsid w:val="002C5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A6F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6F21"/>
    <w:rPr>
      <w:rFonts w:ascii="Segoe UI" w:hAnsi="Segoe UI" w:cs="Segoe UI"/>
      <w:sz w:val="18"/>
      <w:szCs w:val="18"/>
      <w:lang w:val="en-GB"/>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421A10"/>
    <w:rPr>
      <w:rFonts w:ascii="Times New Roman" w:hAnsi="Times New Roman"/>
      <w:lang w:val="en-GB"/>
    </w:rPr>
  </w:style>
  <w:style w:type="paragraph" w:customStyle="1" w:styleId="maintext">
    <w:name w:val="main text"/>
    <w:basedOn w:val="Normal"/>
    <w:link w:val="maintextChar"/>
    <w:qFormat/>
    <w:rsid w:val="00D7328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73285"/>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134CC-0E61-4B71-AEFB-1A9EEC4F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6</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59</cp:revision>
  <cp:lastPrinted>1900-01-01T05:00:00Z</cp:lastPrinted>
  <dcterms:created xsi:type="dcterms:W3CDTF">2019-08-14T14:40:00Z</dcterms:created>
  <dcterms:modified xsi:type="dcterms:W3CDTF">2019-10-04T20:12:00Z</dcterms:modified>
</cp:coreProperties>
</file>